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b w:val="0"/>
          <w:bCs/>
          <w:sz w:val="32"/>
          <w:szCs w:val="32"/>
          <w:lang w:eastAsia="zh-CN"/>
        </w:rPr>
      </w:pPr>
      <w:bookmarkStart w:id="16" w:name="_GoBack"/>
      <w:bookmarkEnd w:id="16"/>
      <w:r>
        <w:rPr>
          <w:rFonts w:hint="eastAsia" w:ascii="宋体" w:hAnsi="宋体"/>
          <w:b w:val="0"/>
          <w:bCs/>
          <w:sz w:val="32"/>
          <w:szCs w:val="32"/>
          <w:lang w:eastAsia="zh-CN"/>
        </w:rPr>
        <w:t>附件</w:t>
      </w:r>
    </w:p>
    <w:p>
      <w:pPr>
        <w:jc w:val="center"/>
        <w:rPr>
          <w:rFonts w:ascii="宋体" w:hAnsi="宋体"/>
          <w:b/>
          <w:sz w:val="32"/>
          <w:szCs w:val="32"/>
        </w:rPr>
      </w:pPr>
    </w:p>
    <w:p>
      <w:pPr>
        <w:jc w:val="center"/>
        <w:rPr>
          <w:rFonts w:ascii="宋体" w:hAnsi="宋体"/>
          <w:b/>
          <w:sz w:val="52"/>
          <w:szCs w:val="52"/>
        </w:rPr>
      </w:pPr>
      <w:r>
        <w:rPr>
          <w:rFonts w:ascii="宋体" w:hAnsi="宋体"/>
          <w:b/>
          <w:sz w:val="52"/>
          <w:szCs w:val="52"/>
        </w:rPr>
        <w:t>广州市统计局</w:t>
      </w:r>
    </w:p>
    <w:p>
      <w:pPr>
        <w:jc w:val="center"/>
        <w:rPr>
          <w:rFonts w:ascii="宋体" w:hAnsi="宋体"/>
          <w:b/>
          <w:sz w:val="52"/>
          <w:szCs w:val="52"/>
        </w:rPr>
      </w:pPr>
      <w:r>
        <w:rPr>
          <w:rFonts w:ascii="宋体" w:hAnsi="宋体"/>
          <w:b/>
          <w:sz w:val="52"/>
          <w:szCs w:val="52"/>
        </w:rPr>
        <w:t>2019年</w:t>
      </w:r>
      <w:r>
        <w:rPr>
          <w:rFonts w:hint="eastAsia" w:ascii="宋体" w:hAnsi="宋体"/>
          <w:b/>
          <w:sz w:val="52"/>
          <w:szCs w:val="52"/>
        </w:rPr>
        <w:t>度</w:t>
      </w:r>
      <w:r>
        <w:rPr>
          <w:rFonts w:ascii="宋体" w:hAnsi="宋体"/>
          <w:b/>
          <w:sz w:val="52"/>
          <w:szCs w:val="52"/>
        </w:rPr>
        <w:t>信息安全管理服务项目</w:t>
      </w:r>
    </w:p>
    <w:p>
      <w:pPr>
        <w:jc w:val="center"/>
        <w:rPr>
          <w:rFonts w:ascii="宋体" w:hAnsi="宋体"/>
          <w:b/>
          <w:sz w:val="52"/>
          <w:szCs w:val="52"/>
        </w:rPr>
      </w:pPr>
    </w:p>
    <w:p>
      <w:pPr>
        <w:jc w:val="center"/>
        <w:rPr>
          <w:rFonts w:hint="eastAsia" w:ascii="宋体" w:hAnsi="宋体"/>
          <w:b/>
          <w:sz w:val="52"/>
          <w:szCs w:val="52"/>
        </w:rPr>
      </w:pPr>
      <w:r>
        <w:rPr>
          <w:rFonts w:hint="eastAsia" w:ascii="宋体" w:hAnsi="宋体"/>
          <w:b/>
          <w:sz w:val="52"/>
          <w:szCs w:val="52"/>
        </w:rPr>
        <w:t>招标文件</w:t>
      </w:r>
    </w:p>
    <w:p>
      <w:pPr>
        <w:pStyle w:val="8"/>
        <w:spacing w:line="240" w:lineRule="atLeast"/>
        <w:jc w:val="center"/>
        <w:rPr>
          <w:rFonts w:ascii="宋体" w:hAnsi="宋体"/>
          <w:b/>
          <w:sz w:val="28"/>
          <w:szCs w:val="28"/>
          <w:lang w:eastAsia="zh-CN"/>
        </w:rPr>
      </w:pPr>
    </w:p>
    <w:p>
      <w:pPr>
        <w:pStyle w:val="8"/>
        <w:spacing w:line="240" w:lineRule="atLeast"/>
        <w:jc w:val="center"/>
        <w:rPr>
          <w:rFonts w:ascii="宋体" w:hAnsi="宋体"/>
          <w:b/>
          <w:sz w:val="28"/>
          <w:szCs w:val="28"/>
          <w:lang w:eastAsia="zh-CN"/>
        </w:rPr>
      </w:pPr>
    </w:p>
    <w:p>
      <w:pPr>
        <w:pStyle w:val="8"/>
        <w:spacing w:line="240" w:lineRule="atLeast"/>
        <w:jc w:val="center"/>
        <w:rPr>
          <w:rFonts w:ascii="宋体" w:hAnsi="宋体"/>
          <w:b/>
          <w:sz w:val="28"/>
          <w:szCs w:val="28"/>
          <w:lang w:eastAsia="zh-CN"/>
        </w:rPr>
      </w:pPr>
    </w:p>
    <w:p>
      <w:pPr>
        <w:pStyle w:val="8"/>
        <w:spacing w:line="240" w:lineRule="atLeast"/>
        <w:jc w:val="center"/>
        <w:rPr>
          <w:rFonts w:ascii="宋体" w:hAnsi="宋体"/>
          <w:b/>
          <w:sz w:val="28"/>
          <w:szCs w:val="28"/>
          <w:lang w:eastAsia="zh-CN"/>
        </w:rPr>
      </w:pPr>
    </w:p>
    <w:p>
      <w:pPr>
        <w:pStyle w:val="8"/>
        <w:spacing w:line="240" w:lineRule="atLeast"/>
        <w:jc w:val="center"/>
        <w:rPr>
          <w:rFonts w:ascii="宋体" w:hAnsi="宋体"/>
          <w:b/>
          <w:sz w:val="28"/>
          <w:szCs w:val="28"/>
          <w:lang w:eastAsia="zh-CN"/>
        </w:rPr>
      </w:pPr>
    </w:p>
    <w:p>
      <w:pPr>
        <w:pStyle w:val="8"/>
        <w:spacing w:line="240" w:lineRule="atLeast"/>
        <w:jc w:val="center"/>
        <w:rPr>
          <w:rFonts w:ascii="宋体" w:hAnsi="宋体"/>
          <w:b/>
          <w:sz w:val="28"/>
          <w:szCs w:val="28"/>
          <w:lang w:eastAsia="zh-CN"/>
        </w:rPr>
      </w:pPr>
    </w:p>
    <w:p>
      <w:pPr>
        <w:pStyle w:val="8"/>
        <w:spacing w:line="240" w:lineRule="atLeast"/>
        <w:jc w:val="center"/>
        <w:rPr>
          <w:rFonts w:ascii="宋体" w:hAnsi="宋体"/>
          <w:b/>
          <w:sz w:val="28"/>
          <w:szCs w:val="28"/>
          <w:lang w:eastAsia="zh-CN"/>
        </w:rPr>
      </w:pPr>
    </w:p>
    <w:p>
      <w:pPr>
        <w:pStyle w:val="8"/>
        <w:spacing w:line="240" w:lineRule="atLeast"/>
        <w:jc w:val="center"/>
        <w:rPr>
          <w:rFonts w:hint="eastAsia" w:ascii="宋体" w:hAnsi="宋体"/>
          <w:b/>
          <w:sz w:val="28"/>
          <w:szCs w:val="28"/>
          <w:lang w:eastAsia="zh-CN"/>
        </w:rPr>
      </w:pPr>
    </w:p>
    <w:p>
      <w:pPr>
        <w:pStyle w:val="8"/>
        <w:spacing w:line="240" w:lineRule="atLeast"/>
        <w:jc w:val="center"/>
        <w:rPr>
          <w:rFonts w:ascii="宋体" w:hAnsi="宋体"/>
          <w:b/>
          <w:sz w:val="44"/>
          <w:szCs w:val="44"/>
          <w:lang w:eastAsia="zh-CN"/>
        </w:rPr>
      </w:pPr>
      <w:r>
        <w:rPr>
          <w:rFonts w:ascii="宋体" w:hAnsi="宋体"/>
          <w:b/>
          <w:sz w:val="44"/>
          <w:szCs w:val="44"/>
          <w:lang w:eastAsia="zh-CN"/>
        </w:rPr>
        <w:t>广州市统计局</w:t>
      </w:r>
    </w:p>
    <w:p>
      <w:pPr>
        <w:pStyle w:val="8"/>
        <w:spacing w:line="240" w:lineRule="atLeast"/>
        <w:jc w:val="center"/>
        <w:rPr>
          <w:rFonts w:hint="eastAsia" w:ascii="宋体" w:hAnsi="宋体"/>
          <w:b/>
          <w:sz w:val="44"/>
          <w:szCs w:val="44"/>
          <w:lang w:eastAsia="zh-CN"/>
        </w:rPr>
      </w:pPr>
      <w:r>
        <w:rPr>
          <w:rFonts w:hint="eastAsia" w:ascii="宋体" w:hAnsi="宋体"/>
          <w:b/>
          <w:sz w:val="44"/>
          <w:szCs w:val="44"/>
          <w:lang w:eastAsia="zh-CN"/>
        </w:rPr>
        <w:t>201</w:t>
      </w:r>
      <w:r>
        <w:rPr>
          <w:rFonts w:ascii="宋体" w:hAnsi="宋体"/>
          <w:b/>
          <w:sz w:val="44"/>
          <w:szCs w:val="44"/>
          <w:lang w:eastAsia="zh-CN"/>
        </w:rPr>
        <w:t>9</w:t>
      </w:r>
      <w:r>
        <w:rPr>
          <w:rFonts w:hint="eastAsia" w:ascii="宋体" w:hAnsi="宋体"/>
          <w:b/>
          <w:sz w:val="44"/>
          <w:szCs w:val="44"/>
          <w:lang w:eastAsia="zh-CN"/>
        </w:rPr>
        <w:t>年</w:t>
      </w:r>
      <w:r>
        <w:rPr>
          <w:rFonts w:ascii="宋体" w:hAnsi="宋体"/>
          <w:b/>
          <w:sz w:val="44"/>
          <w:szCs w:val="44"/>
          <w:lang w:eastAsia="zh-CN"/>
        </w:rPr>
        <w:t>10</w:t>
      </w:r>
      <w:r>
        <w:rPr>
          <w:rFonts w:hint="eastAsia" w:ascii="宋体" w:hAnsi="宋体"/>
          <w:b/>
          <w:sz w:val="44"/>
          <w:szCs w:val="44"/>
          <w:lang w:eastAsia="zh-CN"/>
        </w:rPr>
        <w:t>月</w:t>
      </w:r>
    </w:p>
    <w:p>
      <w:pPr>
        <w:pStyle w:val="2"/>
        <w:pageBreakBefore/>
        <w:numPr>
          <w:ilvl w:val="0"/>
          <w:numId w:val="0"/>
        </w:numPr>
        <w:tabs>
          <w:tab w:val="left" w:pos="540"/>
        </w:tabs>
        <w:jc w:val="center"/>
        <w:rPr>
          <w:rFonts w:hint="eastAsia" w:ascii="宋体" w:hAnsi="宋体"/>
          <w:bCs/>
          <w:kern w:val="44"/>
          <w:sz w:val="30"/>
          <w:szCs w:val="30"/>
          <w:highlight w:val="white"/>
          <w:lang w:eastAsia="zh-CN"/>
        </w:rPr>
      </w:pPr>
      <w:bookmarkStart w:id="0" w:name="_Toc103917524"/>
      <w:r>
        <w:rPr>
          <w:rFonts w:hint="eastAsia" w:ascii="宋体" w:hAnsi="宋体"/>
          <w:bCs/>
          <w:kern w:val="44"/>
          <w:sz w:val="30"/>
          <w:szCs w:val="30"/>
          <w:highlight w:val="white"/>
        </w:rPr>
        <w:t>投标</w:t>
      </w:r>
      <w:r>
        <w:rPr>
          <w:rFonts w:hint="eastAsia" w:ascii="宋体" w:hAnsi="宋体"/>
          <w:bCs/>
          <w:kern w:val="44"/>
          <w:sz w:val="30"/>
          <w:szCs w:val="30"/>
          <w:highlight w:val="white"/>
          <w:lang w:eastAsia="zh-CN"/>
        </w:rPr>
        <w:t>人</w:t>
      </w:r>
      <w:r>
        <w:rPr>
          <w:rFonts w:hint="eastAsia" w:ascii="宋体" w:hAnsi="宋体"/>
          <w:bCs/>
          <w:kern w:val="44"/>
          <w:sz w:val="30"/>
          <w:szCs w:val="30"/>
          <w:highlight w:val="white"/>
        </w:rPr>
        <w:t>须知</w:t>
      </w:r>
      <w:bookmarkEnd w:id="0"/>
    </w:p>
    <w:p>
      <w:pPr>
        <w:spacing w:line="400" w:lineRule="exact"/>
        <w:ind w:firstLine="480" w:firstLineChars="200"/>
        <w:rPr>
          <w:rFonts w:hint="eastAsia" w:ascii="宋体" w:hAnsi="宋体" w:cs="Arial"/>
          <w:sz w:val="24"/>
        </w:rPr>
      </w:pPr>
      <w:r>
        <w:rPr>
          <w:rFonts w:hint="eastAsia" w:ascii="宋体" w:hAnsi="宋体" w:cs="Arial"/>
          <w:sz w:val="24"/>
        </w:rPr>
        <w:t>投标人必须认真阅读招标文件中所有的事项、格式、条款和采购人需求等。投标人没有按照招标文件要求提交全部资料，或者投标文件没有对招标文件在各方面都做出实质性响应是投标人的风险，并可能导致其投标无效或被拒绝。</w:t>
      </w:r>
    </w:p>
    <w:p>
      <w:pPr>
        <w:spacing w:line="360" w:lineRule="auto"/>
        <w:ind w:firstLine="480" w:firstLineChars="200"/>
        <w:rPr>
          <w:rFonts w:ascii="宋体" w:hAnsi="宋体" w:cs="Tahoma"/>
          <w:kern w:val="28"/>
          <w:sz w:val="24"/>
        </w:rPr>
      </w:pPr>
      <w:r>
        <w:rPr>
          <w:rFonts w:hint="eastAsia" w:ascii="宋体" w:hAnsi="宋体" w:cs="Tahoma"/>
          <w:kern w:val="28"/>
          <w:sz w:val="24"/>
        </w:rPr>
        <w:t>一、投标文件</w:t>
      </w:r>
    </w:p>
    <w:p>
      <w:pPr>
        <w:spacing w:line="360" w:lineRule="auto"/>
        <w:ind w:firstLine="480" w:firstLineChars="200"/>
        <w:rPr>
          <w:rFonts w:ascii="宋体" w:hAnsi="宋体" w:cs="Tahoma"/>
          <w:kern w:val="28"/>
          <w:sz w:val="24"/>
        </w:rPr>
      </w:pPr>
      <w:r>
        <w:rPr>
          <w:rFonts w:hint="eastAsia" w:ascii="宋体" w:hAnsi="宋体" w:cs="Tahoma"/>
          <w:kern w:val="28"/>
          <w:sz w:val="24"/>
        </w:rPr>
        <w:t>（一）投标文件应包含如下内容</w:t>
      </w:r>
    </w:p>
    <w:p>
      <w:pPr>
        <w:spacing w:line="360" w:lineRule="auto"/>
        <w:ind w:firstLine="480" w:firstLineChars="200"/>
        <w:rPr>
          <w:rFonts w:ascii="宋体" w:hAnsi="宋体" w:cs="Tahoma"/>
          <w:kern w:val="28"/>
          <w:sz w:val="24"/>
        </w:rPr>
      </w:pPr>
      <w:r>
        <w:rPr>
          <w:rFonts w:hint="eastAsia" w:ascii="宋体" w:hAnsi="宋体" w:cs="Tahoma"/>
          <w:kern w:val="28"/>
          <w:sz w:val="24"/>
        </w:rPr>
        <w:t>1、投标函</w:t>
      </w:r>
    </w:p>
    <w:p>
      <w:pPr>
        <w:spacing w:line="360" w:lineRule="auto"/>
        <w:ind w:firstLine="480" w:firstLineChars="200"/>
        <w:rPr>
          <w:rFonts w:ascii="宋体" w:hAnsi="宋体" w:cs="Tahoma"/>
          <w:kern w:val="28"/>
          <w:sz w:val="24"/>
        </w:rPr>
      </w:pPr>
      <w:r>
        <w:rPr>
          <w:rFonts w:hint="eastAsia" w:ascii="宋体" w:hAnsi="宋体" w:cs="Tahoma"/>
          <w:kern w:val="28"/>
          <w:sz w:val="24"/>
        </w:rPr>
        <w:t>2、授权委托书</w:t>
      </w:r>
    </w:p>
    <w:p>
      <w:pPr>
        <w:spacing w:line="360" w:lineRule="auto"/>
        <w:ind w:firstLine="480" w:firstLineChars="200"/>
        <w:rPr>
          <w:rFonts w:ascii="宋体" w:hAnsi="宋体" w:cs="Tahoma"/>
          <w:kern w:val="28"/>
          <w:sz w:val="24"/>
        </w:rPr>
      </w:pPr>
      <w:r>
        <w:rPr>
          <w:rFonts w:hint="eastAsia" w:ascii="宋体" w:hAnsi="宋体" w:cs="Tahoma"/>
          <w:kern w:val="28"/>
          <w:sz w:val="24"/>
        </w:rPr>
        <w:t>3、报价一览表</w:t>
      </w:r>
    </w:p>
    <w:p>
      <w:pPr>
        <w:spacing w:line="360" w:lineRule="auto"/>
        <w:ind w:firstLine="480" w:firstLineChars="200"/>
        <w:rPr>
          <w:rFonts w:hint="eastAsia" w:ascii="宋体" w:hAnsi="宋体"/>
          <w:sz w:val="24"/>
        </w:rPr>
      </w:pPr>
      <w:r>
        <w:rPr>
          <w:rFonts w:hint="eastAsia" w:ascii="宋体" w:hAnsi="宋体" w:cs="Tahoma"/>
          <w:kern w:val="28"/>
          <w:sz w:val="24"/>
        </w:rPr>
        <w:t>4、</w:t>
      </w:r>
      <w:r>
        <w:rPr>
          <w:rFonts w:hint="eastAsia" w:ascii="宋体" w:hAnsi="宋体"/>
          <w:sz w:val="24"/>
        </w:rPr>
        <w:t>投标人基本情况</w:t>
      </w:r>
    </w:p>
    <w:p>
      <w:pPr>
        <w:spacing w:line="360" w:lineRule="auto"/>
        <w:ind w:firstLine="480" w:firstLineChars="200"/>
        <w:rPr>
          <w:rFonts w:hint="eastAsia" w:ascii="宋体" w:hAnsi="宋体" w:cs="Tahoma"/>
          <w:kern w:val="28"/>
          <w:sz w:val="24"/>
        </w:rPr>
      </w:pPr>
      <w:r>
        <w:rPr>
          <w:rFonts w:hint="eastAsia" w:ascii="宋体" w:hAnsi="宋体"/>
          <w:sz w:val="24"/>
        </w:rPr>
        <w:t>5、承担本项目的主要服务人员简历表</w:t>
      </w:r>
    </w:p>
    <w:p>
      <w:pPr>
        <w:spacing w:line="360" w:lineRule="auto"/>
        <w:ind w:firstLine="480" w:firstLineChars="200"/>
        <w:rPr>
          <w:rFonts w:hint="eastAsia" w:ascii="宋体" w:hAnsi="宋体" w:cs="Tahoma"/>
          <w:kern w:val="28"/>
          <w:sz w:val="24"/>
        </w:rPr>
      </w:pPr>
      <w:r>
        <w:rPr>
          <w:rFonts w:ascii="宋体" w:hAnsi="宋体" w:cs="Tahoma"/>
          <w:kern w:val="28"/>
          <w:sz w:val="24"/>
        </w:rPr>
        <w:t>6</w:t>
      </w:r>
      <w:r>
        <w:rPr>
          <w:rFonts w:hint="eastAsia" w:ascii="宋体" w:hAnsi="宋体" w:cs="Tahoma"/>
          <w:kern w:val="28"/>
          <w:sz w:val="24"/>
        </w:rPr>
        <w:t>、营业执照</w:t>
      </w:r>
    </w:p>
    <w:p>
      <w:pPr>
        <w:spacing w:line="360" w:lineRule="auto"/>
        <w:ind w:firstLine="480" w:firstLineChars="200"/>
        <w:rPr>
          <w:rFonts w:hint="eastAsia" w:ascii="宋体" w:hAnsi="宋体" w:cs="Tahoma"/>
          <w:kern w:val="28"/>
          <w:sz w:val="24"/>
        </w:rPr>
      </w:pPr>
      <w:r>
        <w:rPr>
          <w:rFonts w:ascii="宋体" w:hAnsi="宋体" w:cs="Tahoma"/>
          <w:kern w:val="28"/>
          <w:sz w:val="24"/>
        </w:rPr>
        <w:t>7</w:t>
      </w:r>
      <w:r>
        <w:rPr>
          <w:rFonts w:hint="eastAsia" w:ascii="宋体" w:hAnsi="宋体" w:cs="Tahoma"/>
          <w:kern w:val="28"/>
          <w:sz w:val="24"/>
        </w:rPr>
        <w:t>、近三年承担的同类安全服务项目</w:t>
      </w:r>
    </w:p>
    <w:p>
      <w:pPr>
        <w:spacing w:line="360" w:lineRule="auto"/>
        <w:ind w:firstLine="480" w:firstLineChars="200"/>
        <w:rPr>
          <w:rFonts w:ascii="宋体" w:hAnsi="宋体" w:cs="Tahoma"/>
          <w:kern w:val="28"/>
          <w:sz w:val="24"/>
        </w:rPr>
      </w:pPr>
      <w:r>
        <w:rPr>
          <w:rFonts w:ascii="宋体" w:hAnsi="宋体" w:cs="Tahoma"/>
          <w:kern w:val="28"/>
          <w:sz w:val="24"/>
        </w:rPr>
        <w:t>8</w:t>
      </w:r>
      <w:r>
        <w:rPr>
          <w:rFonts w:hint="eastAsia" w:ascii="宋体" w:hAnsi="宋体" w:cs="Tahoma"/>
          <w:kern w:val="28"/>
          <w:sz w:val="24"/>
        </w:rPr>
        <w:t>、投标人认为有必要提交的其他资料</w:t>
      </w:r>
    </w:p>
    <w:p>
      <w:pPr>
        <w:spacing w:line="360" w:lineRule="auto"/>
        <w:ind w:firstLine="480" w:firstLineChars="200"/>
        <w:rPr>
          <w:rFonts w:ascii="宋体" w:hAnsi="宋体" w:cs="Tahoma"/>
          <w:kern w:val="28"/>
          <w:sz w:val="24"/>
        </w:rPr>
      </w:pPr>
      <w:r>
        <w:rPr>
          <w:rFonts w:hint="eastAsia" w:ascii="宋体" w:hAnsi="宋体" w:cs="Tahoma"/>
          <w:kern w:val="28"/>
          <w:sz w:val="24"/>
        </w:rPr>
        <w:t>（二）投标文件的编写</w:t>
      </w:r>
    </w:p>
    <w:p>
      <w:pPr>
        <w:spacing w:line="360" w:lineRule="auto"/>
        <w:ind w:firstLine="480" w:firstLineChars="200"/>
        <w:rPr>
          <w:rFonts w:ascii="宋体" w:hAnsi="宋体" w:cs="Tahoma"/>
          <w:kern w:val="28"/>
          <w:sz w:val="24"/>
        </w:rPr>
      </w:pPr>
      <w:r>
        <w:rPr>
          <w:rFonts w:hint="eastAsia" w:ascii="宋体" w:hAnsi="宋体" w:cs="Tahoma"/>
          <w:kern w:val="28"/>
          <w:sz w:val="24"/>
        </w:rPr>
        <w:t>1、投标人递交的投标文件：按A4规格双面打印，装订成册不可拆卸。其中正本1份，副本</w:t>
      </w:r>
      <w:r>
        <w:rPr>
          <w:rFonts w:ascii="宋体" w:hAnsi="宋体" w:cs="Tahoma"/>
          <w:kern w:val="28"/>
          <w:sz w:val="24"/>
        </w:rPr>
        <w:t>1</w:t>
      </w:r>
      <w:r>
        <w:rPr>
          <w:rFonts w:hint="eastAsia" w:ascii="宋体" w:hAnsi="宋体" w:cs="Tahoma"/>
          <w:kern w:val="28"/>
          <w:sz w:val="24"/>
        </w:rPr>
        <w:t>份，投标文件正本加盖骑缝章，副本可以是正本的复印件，当正副本不一致时，以正本为准。</w:t>
      </w:r>
    </w:p>
    <w:p>
      <w:pPr>
        <w:spacing w:line="360" w:lineRule="auto"/>
        <w:ind w:firstLine="480" w:firstLineChars="200"/>
        <w:rPr>
          <w:rFonts w:ascii="宋体" w:hAnsi="宋体" w:cs="Tahoma"/>
          <w:kern w:val="28"/>
          <w:sz w:val="24"/>
        </w:rPr>
      </w:pPr>
      <w:r>
        <w:rPr>
          <w:rFonts w:hint="eastAsia" w:ascii="宋体" w:hAnsi="宋体" w:cs="Tahoma"/>
          <w:kern w:val="28"/>
          <w:sz w:val="24"/>
        </w:rPr>
        <w:t>2、投标文件必须按招标文件指定的格式填写，并仔细检查是否有按要求盖公章、签名、签署日期。</w:t>
      </w:r>
    </w:p>
    <w:p>
      <w:pPr>
        <w:spacing w:line="360" w:lineRule="auto"/>
        <w:ind w:firstLine="480" w:firstLineChars="200"/>
        <w:rPr>
          <w:rFonts w:ascii="宋体" w:hAnsi="宋体" w:cs="Tahoma"/>
          <w:kern w:val="28"/>
          <w:sz w:val="24"/>
        </w:rPr>
      </w:pPr>
      <w:r>
        <w:rPr>
          <w:rFonts w:hint="eastAsia" w:ascii="宋体" w:hAnsi="宋体" w:cs="Tahoma"/>
          <w:kern w:val="28"/>
          <w:sz w:val="24"/>
        </w:rPr>
        <w:t>3、投标人必须保证递交的投标文件中材料的真实，否则被视作投标无效。</w:t>
      </w:r>
    </w:p>
    <w:p>
      <w:pPr>
        <w:spacing w:line="360" w:lineRule="auto"/>
        <w:ind w:firstLine="480" w:firstLineChars="200"/>
        <w:rPr>
          <w:rFonts w:ascii="宋体" w:hAnsi="宋体" w:cs="Tahoma"/>
          <w:kern w:val="28"/>
          <w:sz w:val="24"/>
        </w:rPr>
      </w:pPr>
      <w:r>
        <w:rPr>
          <w:rFonts w:hint="eastAsia" w:ascii="宋体" w:hAnsi="宋体" w:cs="Tahoma"/>
          <w:kern w:val="28"/>
          <w:sz w:val="24"/>
        </w:rPr>
        <w:t>4、投标人应承担所有编写和提交投标文件有关费用，不论结果如何，采购人在任何情况下均无义务和责任承担此项费用。</w:t>
      </w:r>
    </w:p>
    <w:p>
      <w:pPr>
        <w:spacing w:line="360" w:lineRule="auto"/>
        <w:ind w:firstLine="480" w:firstLineChars="200"/>
        <w:rPr>
          <w:rFonts w:ascii="宋体" w:hAnsi="宋体" w:cs="Tahoma"/>
          <w:kern w:val="28"/>
          <w:sz w:val="24"/>
        </w:rPr>
      </w:pPr>
      <w:bookmarkStart w:id="1" w:name="_Toc101771366"/>
      <w:bookmarkStart w:id="2" w:name="_Toc101775119"/>
      <w:bookmarkStart w:id="3" w:name="_Toc101843119"/>
      <w:bookmarkStart w:id="4" w:name="_Toc101951252"/>
      <w:bookmarkStart w:id="5" w:name="_Toc134956128"/>
      <w:r>
        <w:rPr>
          <w:rFonts w:hint="eastAsia" w:ascii="宋体" w:hAnsi="宋体" w:cs="Tahoma"/>
          <w:kern w:val="28"/>
          <w:sz w:val="24"/>
        </w:rPr>
        <w:t>（三）投标文件的标记和密封</w:t>
      </w:r>
      <w:bookmarkEnd w:id="1"/>
      <w:bookmarkEnd w:id="2"/>
      <w:bookmarkEnd w:id="3"/>
      <w:bookmarkEnd w:id="4"/>
      <w:bookmarkEnd w:id="5"/>
    </w:p>
    <w:p>
      <w:pPr>
        <w:spacing w:line="360" w:lineRule="auto"/>
        <w:ind w:firstLine="480" w:firstLineChars="200"/>
        <w:rPr>
          <w:rFonts w:ascii="宋体" w:hAnsi="宋体" w:cs="Tahoma"/>
          <w:kern w:val="28"/>
          <w:sz w:val="24"/>
        </w:rPr>
      </w:pPr>
      <w:bookmarkStart w:id="6" w:name="_Toc134955416"/>
      <w:r>
        <w:rPr>
          <w:rFonts w:hint="eastAsia" w:ascii="宋体" w:hAnsi="宋体" w:cs="Tahoma"/>
          <w:kern w:val="28"/>
          <w:sz w:val="24"/>
        </w:rPr>
        <w:t>1、投标文件的任何涂改或修正，必须由投标人代表签字确认。</w:t>
      </w:r>
      <w:bookmarkEnd w:id="6"/>
    </w:p>
    <w:p>
      <w:pPr>
        <w:spacing w:line="360" w:lineRule="auto"/>
        <w:ind w:firstLine="480" w:firstLineChars="200"/>
        <w:rPr>
          <w:rFonts w:ascii="宋体" w:hAnsi="宋体" w:cs="Tahoma"/>
          <w:kern w:val="28"/>
          <w:sz w:val="24"/>
        </w:rPr>
      </w:pPr>
      <w:bookmarkStart w:id="7" w:name="_Toc134955418"/>
      <w:r>
        <w:rPr>
          <w:rFonts w:hint="eastAsia" w:ascii="宋体" w:hAnsi="宋体" w:cs="Tahoma"/>
          <w:kern w:val="28"/>
          <w:sz w:val="24"/>
        </w:rPr>
        <w:t>2、投标文件一式</w:t>
      </w:r>
      <w:r>
        <w:rPr>
          <w:rFonts w:ascii="宋体" w:hAnsi="宋体" w:cs="Tahoma"/>
          <w:kern w:val="28"/>
          <w:sz w:val="24"/>
        </w:rPr>
        <w:t>2</w:t>
      </w:r>
      <w:r>
        <w:rPr>
          <w:rFonts w:hint="eastAsia" w:ascii="宋体" w:hAnsi="宋体" w:cs="Tahoma"/>
          <w:kern w:val="28"/>
          <w:sz w:val="24"/>
        </w:rPr>
        <w:t>份，封面标明“正本”或“副本”，全部一起密封封装在信封内。封套表面标明如下字样并在信封封口处必须加盖投标人公章：</w:t>
      </w:r>
      <w:bookmarkEnd w:id="7"/>
    </w:p>
    <w:p>
      <w:pPr>
        <w:spacing w:line="360" w:lineRule="auto"/>
        <w:ind w:firstLine="480" w:firstLineChars="200"/>
        <w:rPr>
          <w:rFonts w:ascii="宋体" w:hAnsi="宋体" w:cs="Tahoma"/>
          <w:kern w:val="28"/>
          <w:sz w:val="24"/>
        </w:rPr>
      </w:pPr>
      <w:r>
        <w:rPr>
          <w:rFonts w:hint="eastAsia" w:ascii="宋体" w:hAnsi="宋体" w:cs="Tahoma"/>
          <w:kern w:val="28"/>
          <w:sz w:val="24"/>
        </w:rPr>
        <w:t>二、投标有效期：从投标截止日起，投标有效期为90天。投标有效期短于此规定期限的投标，将被拒绝。</w:t>
      </w:r>
    </w:p>
    <w:p>
      <w:pPr>
        <w:spacing w:line="360" w:lineRule="auto"/>
        <w:ind w:firstLine="480" w:firstLineChars="200"/>
        <w:rPr>
          <w:rFonts w:ascii="宋体" w:hAnsi="宋体" w:cs="Tahoma"/>
          <w:kern w:val="28"/>
          <w:sz w:val="24"/>
        </w:rPr>
      </w:pPr>
      <w:r>
        <w:rPr>
          <w:rFonts w:hint="eastAsia" w:ascii="宋体" w:hAnsi="宋体" w:cs="Tahoma"/>
          <w:kern w:val="28"/>
          <w:sz w:val="24"/>
        </w:rPr>
        <w:t>三、关于无效投标</w:t>
      </w:r>
    </w:p>
    <w:p>
      <w:pPr>
        <w:spacing w:line="360" w:lineRule="auto"/>
        <w:ind w:firstLine="480" w:firstLineChars="200"/>
        <w:rPr>
          <w:rFonts w:ascii="宋体" w:hAnsi="宋体" w:cs="Tahoma"/>
          <w:kern w:val="28"/>
          <w:sz w:val="24"/>
        </w:rPr>
      </w:pPr>
      <w:r>
        <w:rPr>
          <w:rFonts w:hint="eastAsia" w:ascii="宋体" w:hAnsi="宋体" w:cs="Tahoma"/>
          <w:kern w:val="28"/>
          <w:sz w:val="24"/>
        </w:rPr>
        <w:t>1、投标文件的签署及盖章未按照本项目内部招标文件的要求执行或投标文件内容有重大缺省的；</w:t>
      </w:r>
    </w:p>
    <w:p>
      <w:pPr>
        <w:spacing w:line="360" w:lineRule="auto"/>
        <w:ind w:firstLine="480" w:firstLineChars="200"/>
        <w:rPr>
          <w:rFonts w:ascii="宋体" w:hAnsi="宋体" w:cs="Tahoma"/>
          <w:kern w:val="28"/>
          <w:sz w:val="24"/>
        </w:rPr>
      </w:pPr>
      <w:r>
        <w:rPr>
          <w:rFonts w:hint="eastAsia" w:ascii="宋体" w:hAnsi="宋体" w:cs="Tahoma"/>
          <w:kern w:val="28"/>
          <w:sz w:val="24"/>
        </w:rPr>
        <w:t>2、没有按要求提交有效的营业执照复印件；</w:t>
      </w:r>
    </w:p>
    <w:p>
      <w:pPr>
        <w:spacing w:line="360" w:lineRule="auto"/>
        <w:ind w:firstLine="480" w:firstLineChars="200"/>
        <w:rPr>
          <w:rFonts w:ascii="宋体" w:hAnsi="宋体" w:cs="Tahoma"/>
          <w:kern w:val="28"/>
          <w:sz w:val="24"/>
        </w:rPr>
      </w:pPr>
      <w:r>
        <w:rPr>
          <w:rFonts w:hint="eastAsia" w:ascii="宋体" w:hAnsi="宋体" w:cs="Tahoma"/>
          <w:kern w:val="28"/>
          <w:sz w:val="24"/>
        </w:rPr>
        <w:t>3、投标人代表与投标文件中所指定的人员不符的；</w:t>
      </w:r>
    </w:p>
    <w:p>
      <w:pPr>
        <w:spacing w:line="360" w:lineRule="auto"/>
        <w:ind w:firstLine="480" w:firstLineChars="200"/>
        <w:rPr>
          <w:rFonts w:ascii="宋体" w:hAnsi="宋体" w:cs="Tahoma"/>
          <w:kern w:val="28"/>
          <w:sz w:val="24"/>
        </w:rPr>
      </w:pPr>
      <w:r>
        <w:rPr>
          <w:rFonts w:hint="eastAsia" w:ascii="宋体" w:hAnsi="宋体" w:cs="Tahoma"/>
          <w:kern w:val="28"/>
          <w:sz w:val="24"/>
        </w:rPr>
        <w:t>4、投标报价不符合要求的；</w:t>
      </w:r>
    </w:p>
    <w:p>
      <w:pPr>
        <w:spacing w:line="360" w:lineRule="auto"/>
        <w:ind w:firstLine="480" w:firstLineChars="200"/>
        <w:rPr>
          <w:rFonts w:ascii="宋体" w:hAnsi="宋体" w:cs="Tahoma"/>
          <w:kern w:val="28"/>
          <w:sz w:val="24"/>
        </w:rPr>
      </w:pPr>
      <w:r>
        <w:rPr>
          <w:rFonts w:hint="eastAsia" w:ascii="宋体" w:hAnsi="宋体" w:cs="Tahoma"/>
          <w:kern w:val="28"/>
          <w:sz w:val="24"/>
        </w:rPr>
        <w:t>5、经招标工作小组审核认为不符合采购人招标文件要求的投标文件</w:t>
      </w:r>
    </w:p>
    <w:p>
      <w:pPr>
        <w:spacing w:line="360" w:lineRule="auto"/>
        <w:ind w:firstLine="480" w:firstLineChars="200"/>
        <w:rPr>
          <w:rFonts w:hint="eastAsia" w:ascii="宋体" w:hAnsi="宋体" w:cs="Tahoma"/>
          <w:kern w:val="28"/>
          <w:sz w:val="24"/>
        </w:rPr>
      </w:pPr>
      <w:r>
        <w:rPr>
          <w:rFonts w:hint="eastAsia" w:ascii="宋体" w:hAnsi="宋体" w:cs="Tahoma"/>
          <w:kern w:val="28"/>
          <w:sz w:val="24"/>
        </w:rPr>
        <w:t>四、答疑及投诉</w:t>
      </w:r>
    </w:p>
    <w:p>
      <w:pPr>
        <w:spacing w:line="360" w:lineRule="auto"/>
        <w:ind w:firstLine="480" w:firstLineChars="200"/>
        <w:rPr>
          <w:rFonts w:ascii="宋体" w:hAnsi="宋体" w:cs="Tahoma"/>
          <w:kern w:val="28"/>
          <w:sz w:val="24"/>
        </w:rPr>
      </w:pPr>
      <w:r>
        <w:rPr>
          <w:rFonts w:hint="eastAsia" w:ascii="宋体" w:hAnsi="宋体" w:cs="Tahoma"/>
          <w:kern w:val="28"/>
          <w:sz w:val="24"/>
        </w:rPr>
        <w:t>本项目不举行集中答疑。</w:t>
      </w:r>
    </w:p>
    <w:p>
      <w:pPr>
        <w:spacing w:line="360" w:lineRule="auto"/>
        <w:ind w:firstLine="480" w:firstLineChars="200"/>
        <w:rPr>
          <w:rFonts w:ascii="宋体" w:hAnsi="宋体" w:cs="Tahoma"/>
          <w:kern w:val="28"/>
          <w:sz w:val="24"/>
        </w:rPr>
      </w:pPr>
      <w:r>
        <w:rPr>
          <w:rFonts w:hint="eastAsia" w:ascii="宋体" w:hAnsi="宋体" w:cs="Tahoma"/>
          <w:kern w:val="28"/>
          <w:sz w:val="24"/>
        </w:rPr>
        <w:t>五、招标文件的解释权</w:t>
      </w:r>
    </w:p>
    <w:p>
      <w:pPr>
        <w:spacing w:line="400" w:lineRule="exact"/>
        <w:ind w:firstLine="480" w:firstLineChars="200"/>
        <w:rPr>
          <w:rFonts w:hint="eastAsia" w:ascii="宋体" w:hAnsi="宋体" w:cs="Arial"/>
          <w:sz w:val="24"/>
        </w:rPr>
      </w:pPr>
      <w:r>
        <w:rPr>
          <w:rFonts w:hint="eastAsia" w:ascii="宋体" w:hAnsi="宋体" w:cs="Tahoma"/>
          <w:kern w:val="28"/>
          <w:sz w:val="24"/>
        </w:rPr>
        <w:t>本项目招标文件由广州市统计局负责解释。</w:t>
      </w:r>
    </w:p>
    <w:p>
      <w:pPr>
        <w:spacing w:line="400" w:lineRule="exact"/>
        <w:ind w:firstLine="480" w:firstLineChars="200"/>
        <w:rPr>
          <w:rFonts w:hint="eastAsia" w:ascii="宋体" w:hAnsi="宋体" w:cs="Arial"/>
          <w:sz w:val="24"/>
        </w:rPr>
      </w:pPr>
    </w:p>
    <w:p>
      <w:pPr>
        <w:pStyle w:val="2"/>
        <w:pageBreakBefore/>
        <w:numPr>
          <w:ilvl w:val="0"/>
          <w:numId w:val="0"/>
        </w:numPr>
        <w:jc w:val="center"/>
        <w:rPr>
          <w:rFonts w:hint="eastAsia" w:ascii="宋体" w:hAnsi="宋体"/>
          <w:bCs/>
          <w:kern w:val="44"/>
          <w:szCs w:val="32"/>
          <w:highlight w:val="white"/>
        </w:rPr>
      </w:pPr>
      <w:r>
        <w:rPr>
          <w:rFonts w:hint="eastAsia" w:ascii="宋体" w:hAnsi="宋体"/>
          <w:bCs/>
          <w:kern w:val="44"/>
          <w:szCs w:val="32"/>
          <w:highlight w:val="white"/>
        </w:rPr>
        <w:t>广州市统计局</w:t>
      </w:r>
      <w:r>
        <w:rPr>
          <w:rFonts w:hint="eastAsia" w:ascii="宋体" w:hAnsi="宋体"/>
          <w:bCs/>
          <w:kern w:val="44"/>
          <w:szCs w:val="32"/>
          <w:highlight w:val="white"/>
          <w:lang w:eastAsia="zh-CN"/>
        </w:rPr>
        <w:t>2019年度</w:t>
      </w:r>
      <w:r>
        <w:rPr>
          <w:rFonts w:hint="eastAsia" w:ascii="宋体" w:hAnsi="宋体"/>
          <w:bCs/>
          <w:kern w:val="44"/>
          <w:szCs w:val="32"/>
          <w:highlight w:val="white"/>
        </w:rPr>
        <w:t>信息安全管理服务需求</w:t>
      </w:r>
    </w:p>
    <w:p>
      <w:pPr>
        <w:spacing w:line="360" w:lineRule="auto"/>
        <w:ind w:firstLine="482" w:firstLineChars="200"/>
        <w:rPr>
          <w:rFonts w:ascii="宋体" w:hAnsi="宋体" w:cs="Arial"/>
          <w:b/>
          <w:bCs/>
          <w:sz w:val="24"/>
        </w:rPr>
      </w:pPr>
      <w:bookmarkStart w:id="8" w:name="_Toc419383655"/>
      <w:r>
        <w:rPr>
          <w:rFonts w:hint="eastAsia" w:ascii="宋体" w:hAnsi="宋体" w:cs="Arial"/>
          <w:b/>
          <w:bCs/>
          <w:sz w:val="24"/>
        </w:rPr>
        <w:t>一、信息安全管理服务目的</w:t>
      </w:r>
    </w:p>
    <w:p>
      <w:pPr>
        <w:spacing w:line="360" w:lineRule="auto"/>
        <w:ind w:firstLine="640" w:firstLineChars="200"/>
        <w:rPr>
          <w:rFonts w:hint="eastAsia" w:ascii="宋体" w:hAnsi="宋体"/>
          <w:sz w:val="24"/>
        </w:rPr>
      </w:pPr>
      <w:r>
        <w:rPr>
          <w:rFonts w:hint="eastAsia"/>
        </w:rPr>
        <w:t>定期对电子政务网络及重要信息系统进行安全风险评估，不断完善电子政务网络的安全防护能力和应急处置能力，及时对发生的安全事件进行及时有效的处理，消除事件带来的负面影响，建立一套管理科学的安全运行维护体系，保证广州市统计局电子政务系统的持续安全运行</w:t>
      </w:r>
      <w:r>
        <w:rPr>
          <w:rFonts w:hint="eastAsia" w:ascii="宋体" w:hAnsi="宋体" w:cs="宋体"/>
          <w:sz w:val="24"/>
        </w:rPr>
        <w:t>。</w:t>
      </w:r>
    </w:p>
    <w:p>
      <w:pPr>
        <w:spacing w:line="360" w:lineRule="auto"/>
        <w:ind w:firstLine="482" w:firstLineChars="200"/>
        <w:rPr>
          <w:rFonts w:ascii="宋体" w:hAnsi="宋体" w:cs="Arial"/>
          <w:b/>
          <w:sz w:val="24"/>
        </w:rPr>
      </w:pPr>
      <w:r>
        <w:rPr>
          <w:rFonts w:hint="eastAsia" w:ascii="宋体" w:hAnsi="宋体"/>
          <w:b/>
          <w:sz w:val="24"/>
        </w:rPr>
        <w:t>二、</w:t>
      </w:r>
      <w:r>
        <w:rPr>
          <w:rFonts w:hint="eastAsia" w:ascii="宋体" w:hAnsi="宋体" w:cs="Arial"/>
          <w:b/>
          <w:bCs/>
          <w:sz w:val="24"/>
        </w:rPr>
        <w:t>信息安全管理服务方式</w:t>
      </w:r>
    </w:p>
    <w:p>
      <w:pPr>
        <w:spacing w:line="360" w:lineRule="auto"/>
        <w:ind w:firstLine="640" w:firstLineChars="200"/>
        <w:jc w:val="left"/>
        <w:rPr>
          <w:rFonts w:hint="eastAsia" w:ascii="宋体" w:hAnsi="宋体" w:cs="Arial"/>
          <w:sz w:val="24"/>
        </w:rPr>
      </w:pPr>
      <w:r>
        <w:rPr>
          <w:rFonts w:hint="eastAsia"/>
        </w:rPr>
        <w:t>7×24小时热线支持、5×8小时现场支持、5×8小时远程支持等</w:t>
      </w:r>
      <w:r>
        <w:rPr>
          <w:rFonts w:hint="eastAsia" w:ascii="宋体" w:hAnsi="宋体" w:cs="Arial"/>
          <w:sz w:val="24"/>
        </w:rPr>
        <w:t>。</w:t>
      </w:r>
    </w:p>
    <w:p>
      <w:pPr>
        <w:spacing w:line="360" w:lineRule="auto"/>
        <w:ind w:firstLine="482" w:firstLineChars="200"/>
        <w:rPr>
          <w:rFonts w:ascii="宋体" w:hAnsi="宋体"/>
          <w:b/>
          <w:sz w:val="24"/>
        </w:rPr>
      </w:pPr>
      <w:bookmarkStart w:id="9" w:name="_Toc419383683"/>
      <w:r>
        <w:rPr>
          <w:rFonts w:hint="eastAsia" w:ascii="宋体" w:hAnsi="宋体"/>
          <w:b/>
          <w:sz w:val="24"/>
        </w:rPr>
        <w:t>三、</w:t>
      </w:r>
      <w:bookmarkEnd w:id="9"/>
      <w:r>
        <w:rPr>
          <w:rFonts w:hint="eastAsia" w:ascii="宋体" w:hAnsi="宋体"/>
          <w:b/>
          <w:sz w:val="24"/>
        </w:rPr>
        <w:t>信息安全服务管理内容</w:t>
      </w:r>
    </w:p>
    <w:p>
      <w:pPr>
        <w:spacing w:line="360" w:lineRule="auto"/>
        <w:ind w:firstLine="480" w:firstLineChars="200"/>
        <w:jc w:val="left"/>
        <w:rPr>
          <w:rFonts w:ascii="宋体" w:hAnsi="宋体"/>
          <w:sz w:val="24"/>
        </w:rPr>
      </w:pPr>
      <w:r>
        <w:rPr>
          <w:rFonts w:hint="eastAsia" w:ascii="黑体" w:hAnsi="黑体" w:eastAsia="黑体" w:cs="黑体"/>
          <w:sz w:val="24"/>
        </w:rPr>
        <w:t>（1）安全通告服务</w:t>
      </w:r>
    </w:p>
    <w:p>
      <w:pPr>
        <w:spacing w:line="360" w:lineRule="auto"/>
        <w:ind w:firstLine="480" w:firstLineChars="200"/>
        <w:jc w:val="left"/>
        <w:rPr>
          <w:rFonts w:ascii="宋体" w:hAnsi="宋体" w:cs="宋体"/>
          <w:sz w:val="24"/>
          <w:lang w:val="zh-CN"/>
        </w:rPr>
      </w:pPr>
      <w:r>
        <w:rPr>
          <w:rFonts w:hint="eastAsia" w:ascii="宋体" w:hAnsi="宋体" w:cs="宋体"/>
          <w:sz w:val="24"/>
          <w:lang w:val="zh-CN"/>
        </w:rPr>
        <w:t>实时提供最新出现的安全漏洞和安全升级通告，提供最新的安全动态、技术和定制的安全信息。安全通告服务1次/周提供包括追踪和整理信息安全技术最新动态、产品和行业情况、安全厂商情况、安全标准与法规等服务。要求投标人每周提供至少一次《安全通告书》，以邮件形式发送。</w:t>
      </w:r>
    </w:p>
    <w:p>
      <w:pPr>
        <w:spacing w:line="360" w:lineRule="auto"/>
        <w:ind w:firstLine="480" w:firstLineChars="200"/>
        <w:jc w:val="left"/>
        <w:rPr>
          <w:rFonts w:ascii="黑体" w:hAnsi="黑体" w:eastAsia="黑体" w:cs="黑体"/>
          <w:sz w:val="24"/>
        </w:rPr>
      </w:pPr>
      <w:r>
        <w:rPr>
          <w:rFonts w:hint="eastAsia" w:ascii="黑体" w:hAnsi="黑体" w:eastAsia="黑体" w:cs="黑体"/>
          <w:sz w:val="24"/>
        </w:rPr>
        <w:t>（2）安全服务响应</w:t>
      </w:r>
    </w:p>
    <w:p>
      <w:pPr>
        <w:tabs>
          <w:tab w:val="left" w:pos="6660"/>
        </w:tabs>
        <w:spacing w:line="360" w:lineRule="auto"/>
        <w:ind w:firstLine="480" w:firstLineChars="200"/>
        <w:rPr>
          <w:rFonts w:hint="eastAsia" w:ascii="宋体" w:hAnsi="宋体" w:cs="宋体"/>
          <w:sz w:val="24"/>
          <w:lang w:val="zh-CN"/>
        </w:rPr>
      </w:pPr>
      <w:r>
        <w:rPr>
          <w:rFonts w:hint="eastAsia" w:ascii="宋体" w:hAnsi="宋体" w:cs="宋体"/>
          <w:sz w:val="24"/>
          <w:lang w:val="zh-CN"/>
        </w:rPr>
        <w:t>要求投标人提供7*24实时安全应急响应服务。</w:t>
      </w:r>
    </w:p>
    <w:p>
      <w:pPr>
        <w:tabs>
          <w:tab w:val="left" w:pos="6660"/>
        </w:tabs>
        <w:spacing w:line="360" w:lineRule="auto"/>
        <w:ind w:firstLine="480" w:firstLineChars="200"/>
        <w:rPr>
          <w:rFonts w:hint="eastAsia" w:ascii="宋体" w:hAnsi="宋体" w:cs="宋体"/>
          <w:sz w:val="24"/>
          <w:lang w:val="zh-CN"/>
        </w:rPr>
      </w:pPr>
      <w:r>
        <w:rPr>
          <w:rFonts w:hint="eastAsia" w:ascii="宋体" w:hAnsi="宋体" w:cs="宋体"/>
          <w:sz w:val="24"/>
          <w:lang w:val="zh-CN"/>
        </w:rPr>
        <w:t>服务内容包括：对意外事故的处理、非法入侵的处理和调查恢复、网络攻击的应急防护等。对网络安全设备、网络交换设备等提供现场安全维护。应急事件应重点包括：计算机病毒爆发、网络非法入侵、网络攻击、网页篡改、网络故障。</w:t>
      </w:r>
    </w:p>
    <w:p>
      <w:pPr>
        <w:tabs>
          <w:tab w:val="left" w:pos="6660"/>
        </w:tabs>
        <w:spacing w:line="360" w:lineRule="auto"/>
        <w:ind w:firstLine="480" w:firstLineChars="200"/>
        <w:rPr>
          <w:rFonts w:hint="eastAsia" w:ascii="宋体" w:hAnsi="宋体" w:cs="宋体"/>
          <w:sz w:val="24"/>
          <w:lang w:val="zh-CN"/>
        </w:rPr>
      </w:pPr>
      <w:r>
        <w:rPr>
          <w:rFonts w:hint="eastAsia" w:ascii="宋体" w:hAnsi="宋体" w:cs="宋体"/>
          <w:sz w:val="24"/>
          <w:lang w:val="zh-CN"/>
        </w:rPr>
        <w:t>投标人应根据采购人可能发生的安全事件，编写合适的应急预案。通过制定的安全应急预案，对广州市统计局整体信息化体系进行应急演练，同时做数据恢复演练，保证整体信息化体系的最优。同时协助客户优化完善安全应急预案库。要求投标人在进场1个月内提供《应急预案及演练报告》（初稿），并在整个项目周期内持续完善。同时要求投标人针对预案，协助采购人1年开展不少于2次的安全应急演练。同时协助客户优化完善安全应急预案库，保证整体信息化体系的最优。</w:t>
      </w:r>
    </w:p>
    <w:p>
      <w:pPr>
        <w:spacing w:line="360" w:lineRule="auto"/>
        <w:ind w:firstLine="480" w:firstLineChars="200"/>
        <w:jc w:val="left"/>
        <w:rPr>
          <w:rFonts w:hint="eastAsia" w:ascii="宋体" w:hAnsi="宋体"/>
          <w:sz w:val="24"/>
        </w:rPr>
      </w:pPr>
      <w:r>
        <w:rPr>
          <w:rFonts w:hint="eastAsia" w:ascii="宋体" w:hAnsi="宋体" w:cs="宋体"/>
          <w:sz w:val="24"/>
          <w:lang w:val="zh-CN"/>
        </w:rPr>
        <w:t>本项目需要有较强的应急响应二线支援能力，具有较高的安全攻防研究能力，能够对最新的病毒、漏洞尽快给出安全解决措施。项目在实施期间，应成立专门的应急服务小组应对项目实施中的紧急情况，应急小组人员须2小时内赶到现场；同时，投标人需要有强大的应急二线支持团队，应对最新的安全漏洞和病毒等。</w:t>
      </w:r>
    </w:p>
    <w:p>
      <w:pPr>
        <w:spacing w:line="360" w:lineRule="auto"/>
        <w:ind w:firstLine="480" w:firstLineChars="200"/>
        <w:jc w:val="left"/>
        <w:rPr>
          <w:rFonts w:ascii="宋体" w:hAnsi="宋体"/>
          <w:sz w:val="24"/>
        </w:rPr>
      </w:pPr>
      <w:r>
        <w:rPr>
          <w:rFonts w:hint="eastAsia" w:ascii="黑体" w:hAnsi="黑体" w:eastAsia="黑体" w:cs="黑体"/>
          <w:sz w:val="24"/>
        </w:rPr>
        <w:t>（3）安全巡检服务</w:t>
      </w:r>
    </w:p>
    <w:p>
      <w:pPr>
        <w:numPr>
          <w:ilvl w:val="0"/>
          <w:numId w:val="2"/>
        </w:num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服务目标</w:t>
      </w:r>
    </w:p>
    <w:p>
      <w:pPr>
        <w:tabs>
          <w:tab w:val="left" w:pos="6660"/>
        </w:tabs>
        <w:spacing w:line="360" w:lineRule="auto"/>
        <w:ind w:firstLine="480" w:firstLineChars="200"/>
        <w:rPr>
          <w:rFonts w:hint="eastAsia" w:ascii="宋体" w:hAnsi="宋体" w:cs="宋体"/>
          <w:sz w:val="24"/>
          <w:lang w:val="zh-CN"/>
        </w:rPr>
      </w:pPr>
      <w:r>
        <w:rPr>
          <w:rFonts w:hint="eastAsia" w:ascii="宋体" w:hAnsi="宋体" w:cs="宋体"/>
          <w:sz w:val="24"/>
          <w:lang w:val="zh-CN"/>
        </w:rPr>
        <w:t>通过安全巡检服务和巡检产生相应的安全隐患、脆弱性报告以及整改意见，让采购人对系统安全状况和整体安全状况有更全面具体的了解，保护广州市统计局系统不遭受安全威胁。具体需达到以下目标：</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及时提供操作系统安全漏洞信息，并协助作出相应处理或提出建议解决方案</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及时发现系统配置漏洞，并协助作出相应处理或提出建议解决方案</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及时通报应用软件安全漏洞，并协助作出相应处理或提出建议解决方案</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保证操作系统的安全等级与最新安全技术的同步，保障应用系统的安全</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确保应用系统自身的安全性，对应用系统自身存在的安全隐患给出解决方案</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及时通报数据备份软、硬件系统的动转情况，对存在的安全隐患给出解决方案</w:t>
      </w:r>
    </w:p>
    <w:p>
      <w:pPr>
        <w:numPr>
          <w:ilvl w:val="0"/>
          <w:numId w:val="2"/>
        </w:num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服务内容</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运行环境评估检测：对环境、设备、场地线路等物理设施进行安全评估并对安全隐患提出相应的解决建议或进行修复和改造。</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安全评估检测：对PC、服务器、刀片服务器的操作系统、网络设备、备份设备、应用程序的安全性进行评估检测并对安全隐患和脆弱性进行修复。</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安全产品审计和升级：对安全产品（防火墙、入侵检测系统、防病毒系统、数据备份系统等）的日志进行审计，对出现的安全隐患提出解决建议，对在免费升级维护期内的产品提供升级服务。</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对广州市统计局的对内业务系统和对外WEB系统进行渗透测试，通过渗透测试发现各类业务系统的自身安全漏洞。</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对广州市统计局主要网段的数据进行持续监测，分析网络协议的内容安全性，包括安全威胁的源地址、目的地址统计、高风险安全事件统计、网络传输弱口令分析等。每月出具具一份网络协议安全分析报告。</w:t>
      </w:r>
    </w:p>
    <w:p>
      <w:pPr>
        <w:numPr>
          <w:ilvl w:val="0"/>
          <w:numId w:val="2"/>
        </w:num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服务范围</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要求投标人至少每两周对中心机房至巡检1次。通过巡检协助确定和消除系统中可能存在的问题，对系统进行优化，对系统运行情况进行风险评估，改进日常维护方案和维护计划；根据实际应用需求提出升级、扩容等建议；每次巡检前提供巡检计划和方案，经各单位用户确认后作为巡检实施依据。每次巡检后三个工作日内提供书面《机房巡检报告书》。</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对广州市统计局网络安全状况进行全面的评估检测，包括使用工具扫描及手工检测等，对服务器、网络安全设备、数据备份设备、应用系统的日志进行分析检测，对全网主要数据的安全情况进行监测、分析和评价，提出系统加固建议以及相关的应急措施。每季度提供书面《安全检测报告书》。</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每个长假（ 国庆节、春节等）后2个工作日内到指定的服务地点进行网络安全状态检测，3个工作日内需提交信息安全检测报告书，特别是重要的网络信息系统如数据库系统、网站系统的非法访问记录检查。服务过程使用的安全工具，如漏洞扫描系统和网络协议分析工具，必须提供自主研发或授权证明，避免产生不必要的法律纠纷。每次巡检完后提交《节假日期间网络信息系统安全巡检报告书》。</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协助广州市统计局在重大活动前全市范围内开展信息安全检查前的自查工作。</w:t>
      </w:r>
    </w:p>
    <w:p>
      <w:pPr>
        <w:numPr>
          <w:ilvl w:val="0"/>
          <w:numId w:val="3"/>
        </w:numPr>
        <w:spacing w:line="360" w:lineRule="auto"/>
        <w:rPr>
          <w:rFonts w:ascii="宋体" w:hAnsi="宋体"/>
          <w:kern w:val="0"/>
          <w:sz w:val="24"/>
          <w:szCs w:val="21"/>
          <w:lang w:val="zh-CN"/>
        </w:rPr>
      </w:pPr>
      <w:r>
        <w:rPr>
          <w:rFonts w:hint="eastAsia" w:ascii="宋体" w:hAnsi="宋体"/>
          <w:kern w:val="0"/>
          <w:sz w:val="24"/>
          <w:szCs w:val="21"/>
          <w:lang w:val="zh-CN"/>
        </w:rPr>
        <w:t>市统计局门户网定期巡检服务。应针对广州市统计局门户网站提供详细的保护方案及巡检计划，须提供网站的日常巡检服务，必须严密保障广州市统计局门户网站的正常访问。</w:t>
      </w:r>
    </w:p>
    <w:p>
      <w:pPr>
        <w:spacing w:line="360" w:lineRule="auto"/>
        <w:ind w:firstLine="480" w:firstLineChars="200"/>
        <w:jc w:val="left"/>
        <w:rPr>
          <w:rFonts w:hint="eastAsia" w:ascii="宋体" w:hAnsi="宋体"/>
          <w:sz w:val="24"/>
        </w:rPr>
      </w:pPr>
      <w:r>
        <w:rPr>
          <w:rFonts w:hint="eastAsia" w:ascii="宋体" w:hAnsi="宋体"/>
          <w:sz w:val="24"/>
        </w:rPr>
        <w:t>（4）</w:t>
      </w:r>
      <w:r>
        <w:rPr>
          <w:rFonts w:hint="eastAsia" w:ascii="黑体" w:hAnsi="黑体" w:eastAsia="黑体" w:cs="黑体"/>
          <w:sz w:val="24"/>
        </w:rPr>
        <w:t>安全顾问服务</w:t>
      </w:r>
    </w:p>
    <w:p>
      <w:p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对于用户的安全咨询提供7×24小时的专人电话服务，并在每次服务完成后，提供《安全顾问服务报告》。</w:t>
      </w:r>
    </w:p>
    <w:p>
      <w:p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对网络系统现状提出合理性的建议，配合制订基于综合信息平台网络环境、应用需求、业务流程、组织结构和战略目标的安全策略与实施计划，并详细说明实现安全策略的方式方法。安全顾问随时提供包括安全管理体系设计、安全技术选择和推荐、安全管理制度的制定、灾难恢复计划咨询等服务。具体需求如下：</w:t>
      </w:r>
    </w:p>
    <w:p>
      <w:p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1、规划咨询服务</w:t>
      </w:r>
    </w:p>
    <w:p>
      <w:p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提出信息系统安全防护对策，协助采购人进行安全体系建设，制定安全方案，保证信息系统的安全运行；对系统集成项目、应用软件集成项目、网络安全集成项目进行安全方案咨询服务，并负责安全性审查和实施过程的全面监控。</w:t>
      </w:r>
    </w:p>
    <w:p>
      <w:p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2、安全管理体系建设咨询服务</w:t>
      </w:r>
    </w:p>
    <w:p>
      <w:p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（1）依照《广东省计算机信息系统安全保护管理规定》内容，协助采购人对现有的安全管理制度进行梳理更新，完善现有各项安全管理制度。</w:t>
      </w:r>
    </w:p>
    <w:p>
      <w:p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具体内容包括：</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计算机安全管理制度；投标人须对广州市统计局现有计算机安全管理制度进行梳理更新，完善现有各项管理制度。</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安全管理责任人、信息审查员的任免和安全责任制度；</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网络安全漏洞检测和系统升级管理制度；</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操作权限管理制度；</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用户登记制度，帐号口令管理制度，投标人需提供详细的账号口令管理办法。</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信息发布审查、登记、保存、清除和备份制度，信息群发服务管理制度。</w:t>
      </w:r>
    </w:p>
    <w:p>
      <w:pPr>
        <w:spacing w:line="360" w:lineRule="auto"/>
        <w:ind w:left="420"/>
        <w:rPr>
          <w:rFonts w:hint="eastAsia" w:ascii="宋体" w:hAnsi="宋体"/>
          <w:kern w:val="0"/>
          <w:sz w:val="24"/>
          <w:szCs w:val="21"/>
          <w:lang w:val="zh-CN"/>
        </w:rPr>
      </w:pPr>
      <w:r>
        <w:rPr>
          <w:rFonts w:hint="eastAsia" w:ascii="宋体" w:hAnsi="宋体"/>
          <w:kern w:val="0"/>
          <w:sz w:val="24"/>
          <w:szCs w:val="21"/>
          <w:lang w:val="zh-CN"/>
        </w:rPr>
        <w:t>（2）依照《广东省计算机信息系统安全保护管理规定》内容，协助用户落实以下安全保护技术措施：</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系统重要部分的冗余或备份措施；</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计算机病毒防治措施；</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网络攻击防范、追踪措施；</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安全审计和预警措施；</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系统运行和用户使用日志记录保存60日以上措施；</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 xml:space="preserve">记录用户主叫电话号码和网络地址的措施； </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身份登记和识别确认措施；</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信息群发限制和有害数据防治措施。</w:t>
      </w:r>
    </w:p>
    <w:p>
      <w:p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（3）协助用户服务的内容：</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网络安全改进建议；</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审核网络安全方案；</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安全管理制度的建立；</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设计网络安全体系结构；</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制定及更新广州市统计局现有网络安全策略。</w:t>
      </w:r>
    </w:p>
    <w:p>
      <w:pPr>
        <w:spacing w:line="360" w:lineRule="auto"/>
        <w:ind w:firstLine="484" w:firstLineChars="202"/>
        <w:rPr>
          <w:rFonts w:hint="eastAsia" w:ascii="宋体" w:hAnsi="宋体"/>
          <w:kern w:val="0"/>
          <w:sz w:val="24"/>
          <w:szCs w:val="21"/>
          <w:lang w:val="zh-CN"/>
        </w:rPr>
      </w:pPr>
      <w:r>
        <w:rPr>
          <w:rFonts w:hint="eastAsia" w:ascii="宋体" w:hAnsi="宋体"/>
          <w:kern w:val="0"/>
          <w:sz w:val="24"/>
          <w:szCs w:val="21"/>
          <w:lang w:val="zh-CN"/>
        </w:rPr>
        <w:t>（4）提供安全策略范本，包括：</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 xml:space="preserve">操作系统安全配置规范； </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网络设备安全配置规范；</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 xml:space="preserve">安全设备安全配置规范； </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备份与恢复规范；</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防范病毒、蠕虫、特洛伊木马的安全策略；</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 xml:space="preserve">软件开发与维护监督规范； </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安全审计等。</w:t>
      </w:r>
    </w:p>
    <w:p>
      <w:p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3、网络安全域划分改造</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网络安全域建设，投标人须对广州市统计局现有网络提出详细的整改方案，完善网络安全域划分建设；</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访问控制策略的制定；</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配合完成上级主管部门要求的各项网络信息安全保障建设工作。</w:t>
      </w:r>
    </w:p>
    <w:p>
      <w:p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4、网络及系统运维安全防范与控制</w:t>
      </w:r>
    </w:p>
    <w:p>
      <w:pPr>
        <w:spacing w:line="360" w:lineRule="auto"/>
        <w:ind w:firstLine="480" w:firstLineChars="200"/>
        <w:rPr>
          <w:rFonts w:hint="eastAsia" w:ascii="宋体" w:hAnsi="宋体"/>
          <w:kern w:val="0"/>
          <w:sz w:val="24"/>
          <w:szCs w:val="21"/>
          <w:lang w:val="zh-CN"/>
        </w:rPr>
      </w:pPr>
      <w:r>
        <w:rPr>
          <w:rFonts w:hint="eastAsia" w:ascii="宋体" w:hAnsi="宋体"/>
          <w:kern w:val="0"/>
          <w:sz w:val="24"/>
          <w:szCs w:val="21"/>
          <w:lang w:val="zh-CN"/>
        </w:rPr>
        <w:t>投标人应根据广州市统计局信息网络安全现状,提供针对服务人员(包括其他第三方合作公司服务人员,含本项目服务人员)的运维安全管理、网络安全准入控制的管理方案及技术保障措施。</w:t>
      </w:r>
    </w:p>
    <w:p>
      <w:pPr>
        <w:spacing w:line="360" w:lineRule="auto"/>
        <w:ind w:left="425"/>
        <w:rPr>
          <w:rFonts w:hint="eastAsia" w:ascii="宋体" w:hAnsi="宋体"/>
          <w:kern w:val="0"/>
          <w:sz w:val="24"/>
          <w:szCs w:val="21"/>
          <w:lang w:val="zh-CN"/>
        </w:rPr>
      </w:pPr>
      <w:r>
        <w:rPr>
          <w:rFonts w:hint="eastAsia" w:ascii="宋体" w:hAnsi="宋体"/>
          <w:kern w:val="0"/>
          <w:sz w:val="24"/>
          <w:szCs w:val="21"/>
          <w:lang w:val="zh-CN"/>
        </w:rPr>
        <w:t>5、计算机等级保护工作的顾问服务</w:t>
      </w:r>
    </w:p>
    <w:p>
      <w:pPr>
        <w:spacing w:line="360" w:lineRule="auto"/>
        <w:ind w:firstLine="480" w:firstLineChars="200"/>
        <w:jc w:val="left"/>
        <w:rPr>
          <w:rFonts w:ascii="宋体" w:hAnsi="宋体"/>
          <w:sz w:val="24"/>
        </w:rPr>
      </w:pPr>
      <w:r>
        <w:rPr>
          <w:rFonts w:hint="eastAsia" w:ascii="宋体" w:hAnsi="宋体"/>
          <w:kern w:val="0"/>
          <w:sz w:val="24"/>
          <w:szCs w:val="21"/>
          <w:lang w:val="zh-CN"/>
        </w:rPr>
        <w:t>投标人应根据广州市统计局信息网络安全现状，结合广州市信息安全等级保护工作会议精神，针对我会存在的信息安全等级保护现状提出建议，对新上业务系统提出符合信息安全等级保护的建设方案，并进行预测评。</w:t>
      </w:r>
    </w:p>
    <w:p>
      <w:pPr>
        <w:spacing w:line="360" w:lineRule="auto"/>
        <w:ind w:firstLine="480" w:firstLineChars="200"/>
        <w:jc w:val="left"/>
        <w:rPr>
          <w:rFonts w:ascii="宋体" w:hAnsi="宋体"/>
          <w:sz w:val="24"/>
        </w:rPr>
      </w:pPr>
      <w:r>
        <w:rPr>
          <w:rFonts w:hint="eastAsia" w:ascii="宋体" w:hAnsi="宋体"/>
          <w:sz w:val="24"/>
        </w:rPr>
        <w:t>（5）</w:t>
      </w:r>
      <w:r>
        <w:rPr>
          <w:rFonts w:hint="eastAsia" w:ascii="黑体" w:hAnsi="黑体" w:eastAsia="黑体" w:cs="黑体"/>
          <w:sz w:val="24"/>
        </w:rPr>
        <w:t>安全培训要求</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投标人应结合采购人实际需求，针对系统管理员、运维工程师和普通用户三类不同人员提出不同培训计划和课程内容安排，在征得采购人同意后实施。</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对于上述三类人员的培训，每年均不少于一次。</w:t>
      </w:r>
    </w:p>
    <w:p>
      <w:pPr>
        <w:numPr>
          <w:ilvl w:val="0"/>
          <w:numId w:val="3"/>
        </w:numPr>
        <w:spacing w:line="360" w:lineRule="auto"/>
        <w:rPr>
          <w:rFonts w:hint="eastAsia" w:ascii="宋体" w:hAnsi="宋体"/>
          <w:kern w:val="0"/>
          <w:sz w:val="24"/>
          <w:szCs w:val="21"/>
          <w:lang w:val="zh-CN"/>
        </w:rPr>
      </w:pPr>
      <w:r>
        <w:rPr>
          <w:rFonts w:hint="eastAsia" w:ascii="宋体" w:hAnsi="宋体"/>
          <w:kern w:val="0"/>
          <w:sz w:val="24"/>
          <w:szCs w:val="21"/>
          <w:lang w:val="zh-CN"/>
        </w:rPr>
        <w:t>培训营注重理论和实际结合，通过理论讲授、实验操作、问题讨论等方面，普及安全教育，提高安全意识，提高安全防范能力。安全培训服务应提供包括用户相关人员参加的分批分级的网络安全的相关法律法规培训、各种网络攻击技术原理及防御培训、网络安全策略及安全管理培训、常用网络安全产品原理及应用培训等服务。</w:t>
      </w:r>
    </w:p>
    <w:p>
      <w:pPr>
        <w:spacing w:line="360" w:lineRule="auto"/>
        <w:ind w:firstLine="480" w:firstLineChars="200"/>
        <w:jc w:val="left"/>
        <w:rPr>
          <w:rFonts w:ascii="宋体" w:hAnsi="宋体"/>
          <w:sz w:val="24"/>
        </w:rPr>
      </w:pPr>
      <w:r>
        <w:rPr>
          <w:rFonts w:hint="eastAsia" w:ascii="宋体" w:hAnsi="宋体"/>
          <w:kern w:val="0"/>
          <w:sz w:val="24"/>
          <w:szCs w:val="21"/>
          <w:lang w:val="zh-CN"/>
        </w:rPr>
        <w:t>投标人应为广州市统计局提供作为全单位网络安全知识普及教育的宣传资料；宣传资料的形式可通过海报、漫画、指导手册等方式体现。</w:t>
      </w:r>
    </w:p>
    <w:p>
      <w:pPr>
        <w:spacing w:line="360" w:lineRule="auto"/>
        <w:ind w:firstLine="482" w:firstLineChars="200"/>
        <w:rPr>
          <w:rFonts w:hint="eastAsia" w:ascii="宋体" w:hAnsi="宋体"/>
          <w:b/>
          <w:sz w:val="24"/>
        </w:rPr>
      </w:pPr>
      <w:r>
        <w:rPr>
          <w:rFonts w:hint="eastAsia" w:ascii="宋体" w:hAnsi="宋体"/>
          <w:b/>
          <w:sz w:val="24"/>
        </w:rPr>
        <w:t>四、信息安全管理服务工期</w:t>
      </w:r>
    </w:p>
    <w:p>
      <w:pPr>
        <w:spacing w:line="360" w:lineRule="auto"/>
        <w:ind w:firstLine="480" w:firstLineChars="200"/>
        <w:jc w:val="left"/>
        <w:rPr>
          <w:rFonts w:hint="eastAsia" w:ascii="宋体" w:hAnsi="宋体" w:cs="Arial"/>
          <w:sz w:val="24"/>
        </w:rPr>
      </w:pPr>
      <w:r>
        <w:rPr>
          <w:rFonts w:hint="eastAsia" w:ascii="宋体" w:hAnsi="宋体"/>
          <w:sz w:val="24"/>
        </w:rPr>
        <w:t>本项目服务工期为：201</w:t>
      </w:r>
      <w:r>
        <w:rPr>
          <w:rFonts w:ascii="宋体" w:hAnsi="宋体"/>
          <w:sz w:val="24"/>
        </w:rPr>
        <w:t>9</w:t>
      </w:r>
      <w:r>
        <w:rPr>
          <w:rFonts w:hint="eastAsia" w:ascii="宋体" w:hAnsi="宋体"/>
          <w:sz w:val="24"/>
        </w:rPr>
        <w:t>年11月1日至20</w:t>
      </w:r>
      <w:r>
        <w:rPr>
          <w:rFonts w:ascii="宋体" w:hAnsi="宋体"/>
          <w:sz w:val="24"/>
        </w:rPr>
        <w:t>20</w:t>
      </w:r>
      <w:r>
        <w:rPr>
          <w:rFonts w:hint="eastAsia" w:ascii="宋体" w:hAnsi="宋体"/>
          <w:sz w:val="24"/>
        </w:rPr>
        <w:t>年10月31日。</w:t>
      </w:r>
    </w:p>
    <w:p>
      <w:pPr>
        <w:spacing w:line="360" w:lineRule="auto"/>
        <w:ind w:firstLine="482" w:firstLineChars="200"/>
        <w:rPr>
          <w:rFonts w:ascii="宋体" w:hAnsi="宋体"/>
          <w:b/>
          <w:sz w:val="24"/>
        </w:rPr>
      </w:pPr>
      <w:r>
        <w:rPr>
          <w:rFonts w:hint="eastAsia" w:ascii="宋体" w:hAnsi="宋体"/>
          <w:b/>
          <w:sz w:val="24"/>
        </w:rPr>
        <w:t>四、项目验收方法</w:t>
      </w:r>
    </w:p>
    <w:p>
      <w:pPr>
        <w:pStyle w:val="18"/>
        <w:spacing w:line="360" w:lineRule="auto"/>
        <w:ind w:firstLine="480"/>
        <w:rPr>
          <w:rFonts w:hint="eastAsia" w:ascii="宋体" w:hAnsi="宋体" w:cs="宋体"/>
          <w:sz w:val="24"/>
          <w:szCs w:val="24"/>
        </w:rPr>
      </w:pPr>
      <w:r>
        <w:rPr>
          <w:rFonts w:hint="eastAsia" w:ascii="宋体" w:hAnsi="宋体" w:cs="宋体"/>
          <w:sz w:val="24"/>
          <w:szCs w:val="24"/>
        </w:rPr>
        <w:t>完成广州市统计局20</w:t>
      </w:r>
      <w:r>
        <w:rPr>
          <w:rFonts w:ascii="宋体" w:hAnsi="宋体" w:cs="宋体"/>
          <w:sz w:val="24"/>
          <w:szCs w:val="24"/>
        </w:rPr>
        <w:t>19</w:t>
      </w:r>
      <w:r>
        <w:rPr>
          <w:rFonts w:hint="eastAsia" w:ascii="宋体" w:hAnsi="宋体" w:cs="宋体"/>
          <w:sz w:val="24"/>
          <w:szCs w:val="24"/>
        </w:rPr>
        <w:t>年信息安全管理服务内容，保障广州市统计局信息系统安全，按要求形成服务文档，通过用户组织的项目最终验收并通过政数局验收备案。</w:t>
      </w:r>
    </w:p>
    <w:bookmarkEnd w:id="8"/>
    <w:p>
      <w:pPr>
        <w:spacing w:line="360" w:lineRule="auto"/>
        <w:ind w:firstLine="482" w:firstLineChars="200"/>
        <w:rPr>
          <w:rFonts w:ascii="宋体" w:hAnsi="宋体"/>
          <w:b/>
          <w:sz w:val="24"/>
        </w:rPr>
      </w:pPr>
      <w:bookmarkStart w:id="10" w:name="_Toc419383682"/>
      <w:r>
        <w:rPr>
          <w:rFonts w:hint="eastAsia" w:ascii="宋体" w:hAnsi="宋体"/>
          <w:b/>
          <w:sz w:val="24"/>
        </w:rPr>
        <w:t>五、报价要求</w:t>
      </w:r>
    </w:p>
    <w:p>
      <w:pPr>
        <w:pStyle w:val="18"/>
        <w:spacing w:line="360" w:lineRule="auto"/>
        <w:ind w:firstLine="480"/>
        <w:rPr>
          <w:rFonts w:hint="eastAsia" w:ascii="宋体" w:hAnsi="宋体" w:cs="宋体"/>
          <w:color w:val="FF0000"/>
          <w:sz w:val="24"/>
          <w:szCs w:val="24"/>
        </w:rPr>
      </w:pPr>
      <w:r>
        <w:rPr>
          <w:rFonts w:hint="eastAsia" w:ascii="宋体" w:hAnsi="宋体" w:cs="Courier New"/>
          <w:sz w:val="24"/>
        </w:rPr>
        <w:t>本项目最高限价15万元，投标人</w:t>
      </w:r>
      <w:r>
        <w:rPr>
          <w:rFonts w:ascii="宋体" w:hAnsi="宋体" w:cs="Courier New"/>
          <w:sz w:val="24"/>
        </w:rPr>
        <w:t>须</w:t>
      </w:r>
      <w:r>
        <w:rPr>
          <w:rFonts w:hint="eastAsia" w:ascii="宋体" w:hAnsi="宋体" w:cs="Courier New"/>
          <w:sz w:val="24"/>
        </w:rPr>
        <w:t>对本项目进行报价，报价不能超过招标限额。报价必须包括完成本项目规定的工作所承担的全部费用、利润、税金、政策性文件规定及合同包含内的所有风险、责任等各项应有费用</w:t>
      </w:r>
      <w:r>
        <w:rPr>
          <w:rFonts w:hint="eastAsia" w:ascii="宋体" w:hAnsi="宋体"/>
          <w:sz w:val="24"/>
        </w:rPr>
        <w:t>。</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支付方法</w:t>
      </w:r>
      <w:bookmarkEnd w:id="10"/>
    </w:p>
    <w:p>
      <w:pPr>
        <w:tabs>
          <w:tab w:val="left" w:pos="720"/>
        </w:tabs>
        <w:spacing w:line="360" w:lineRule="auto"/>
        <w:ind w:firstLine="480" w:firstLineChars="200"/>
        <w:rPr>
          <w:rFonts w:hint="eastAsia" w:ascii="宋体" w:hAnsi="宋体"/>
          <w:sz w:val="24"/>
        </w:rPr>
      </w:pPr>
      <w:r>
        <w:rPr>
          <w:rFonts w:hint="eastAsia" w:ascii="宋体" w:hAnsi="宋体"/>
          <w:sz w:val="24"/>
        </w:rPr>
        <w:t>项目支付按照以下方式开展：</w:t>
      </w:r>
    </w:p>
    <w:p>
      <w:pPr>
        <w:numPr>
          <w:ilvl w:val="0"/>
          <w:numId w:val="4"/>
        </w:numPr>
        <w:tabs>
          <w:tab w:val="left" w:pos="720"/>
        </w:tabs>
        <w:spacing w:line="360" w:lineRule="auto"/>
        <w:rPr>
          <w:rFonts w:ascii="宋体" w:hAnsi="宋体"/>
          <w:sz w:val="24"/>
        </w:rPr>
      </w:pPr>
      <w:r>
        <w:rPr>
          <w:rFonts w:hint="eastAsia" w:ascii="宋体" w:hAnsi="宋体"/>
          <w:sz w:val="24"/>
        </w:rPr>
        <w:t>合同签订后，支付项目金额的</w:t>
      </w:r>
      <w:r>
        <w:rPr>
          <w:rFonts w:hint="eastAsia" w:ascii="宋体" w:hAnsi="宋体"/>
          <w:sz w:val="24"/>
          <w:lang w:val="en-US" w:eastAsia="zh-CN"/>
        </w:rPr>
        <w:t>80</w:t>
      </w:r>
      <w:r>
        <w:rPr>
          <w:rFonts w:hint="eastAsia" w:ascii="宋体" w:hAnsi="宋体"/>
          <w:sz w:val="24"/>
        </w:rPr>
        <w:t>%；</w:t>
      </w:r>
    </w:p>
    <w:p>
      <w:pPr>
        <w:numPr>
          <w:ilvl w:val="0"/>
          <w:numId w:val="4"/>
        </w:numPr>
        <w:tabs>
          <w:tab w:val="left" w:pos="720"/>
        </w:tabs>
        <w:spacing w:line="360" w:lineRule="auto"/>
        <w:rPr>
          <w:rFonts w:hint="eastAsia" w:ascii="宋体" w:hAnsi="宋体"/>
          <w:sz w:val="24"/>
        </w:rPr>
      </w:pPr>
      <w:r>
        <w:rPr>
          <w:rFonts w:ascii="宋体" w:hAnsi="宋体"/>
          <w:sz w:val="24"/>
        </w:rPr>
        <w:t>项目通过用户方组织的最终验收</w:t>
      </w:r>
      <w:r>
        <w:rPr>
          <w:rFonts w:hint="eastAsia" w:ascii="宋体" w:hAnsi="宋体"/>
          <w:sz w:val="24"/>
        </w:rPr>
        <w:t>，</w:t>
      </w:r>
      <w:r>
        <w:rPr>
          <w:rFonts w:ascii="宋体" w:hAnsi="宋体"/>
          <w:sz w:val="24"/>
        </w:rPr>
        <w:t>支付合同金额的</w:t>
      </w:r>
      <w:r>
        <w:rPr>
          <w:rFonts w:hint="eastAsia" w:ascii="宋体" w:hAnsi="宋体"/>
          <w:sz w:val="24"/>
          <w:lang w:val="en-US" w:eastAsia="zh-CN"/>
        </w:rPr>
        <w:t>20</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中标方须在采购人办理付款手续之前5个工作日内，提供等额的正式发票给采购人，以便采购人及时办理支付手续。本项目的款项由因财政资金拨款延误而导致逾期付款，采购人不承担逾期付款的违约责任，并且此情况不能成为中标方逾期完工的理由。</w:t>
      </w:r>
    </w:p>
    <w:p>
      <w:pPr>
        <w:spacing w:line="360" w:lineRule="auto"/>
        <w:ind w:firstLine="480" w:firstLineChars="200"/>
        <w:rPr>
          <w:rFonts w:ascii="宋体" w:hAnsi="宋体"/>
          <w:sz w:val="24"/>
        </w:rPr>
      </w:pPr>
    </w:p>
    <w:p>
      <w:pPr>
        <w:pStyle w:val="2"/>
        <w:pageBreakBefore/>
        <w:numPr>
          <w:ilvl w:val="0"/>
          <w:numId w:val="0"/>
        </w:numPr>
        <w:spacing w:line="440" w:lineRule="exact"/>
        <w:jc w:val="center"/>
        <w:rPr>
          <w:rFonts w:hint="eastAsia"/>
          <w:szCs w:val="32"/>
        </w:rPr>
      </w:pPr>
      <w:r>
        <w:rPr>
          <w:rFonts w:hint="eastAsia" w:ascii="宋体" w:hAnsi="宋体"/>
          <w:bCs/>
          <w:kern w:val="44"/>
          <w:szCs w:val="32"/>
          <w:highlight w:val="white"/>
        </w:rPr>
        <w:t>招标流程及评审办法</w:t>
      </w:r>
    </w:p>
    <w:p>
      <w:pPr>
        <w:spacing w:line="360" w:lineRule="auto"/>
        <w:jc w:val="left"/>
        <w:outlineLvl w:val="1"/>
        <w:rPr>
          <w:rFonts w:hint="eastAsia" w:ascii="宋体" w:hAnsi="宋体"/>
          <w:b/>
          <w:sz w:val="24"/>
          <w:highlight w:val="white"/>
        </w:rPr>
      </w:pPr>
      <w:r>
        <w:rPr>
          <w:rFonts w:hint="eastAsia" w:ascii="宋体" w:hAnsi="宋体"/>
          <w:b/>
          <w:sz w:val="24"/>
          <w:highlight w:val="white"/>
        </w:rPr>
        <w:t>一、招标工作小组</w:t>
      </w:r>
    </w:p>
    <w:p>
      <w:pPr>
        <w:numPr>
          <w:ilvl w:val="0"/>
          <w:numId w:val="5"/>
        </w:numPr>
        <w:spacing w:line="360" w:lineRule="auto"/>
        <w:ind w:left="0" w:firstLine="0"/>
        <w:jc w:val="left"/>
        <w:rPr>
          <w:rFonts w:hint="eastAsia" w:ascii="宋体" w:hAnsi="宋体"/>
          <w:sz w:val="24"/>
        </w:rPr>
      </w:pPr>
      <w:r>
        <w:rPr>
          <w:rFonts w:hint="eastAsia" w:ascii="宋体" w:hAnsi="宋体"/>
          <w:sz w:val="24"/>
        </w:rPr>
        <w:t>本次招标由单位组织评选小组。招标会将本着公平、公正、科学、择优的原则，严格按照广州市统计局相关管理规定和招标方案设定的程序和规则推荐招标结果。</w:t>
      </w:r>
    </w:p>
    <w:p>
      <w:pPr>
        <w:numPr>
          <w:ilvl w:val="0"/>
          <w:numId w:val="5"/>
        </w:numPr>
        <w:spacing w:line="360" w:lineRule="auto"/>
        <w:ind w:left="0" w:firstLine="0"/>
        <w:jc w:val="left"/>
        <w:rPr>
          <w:rFonts w:hint="eastAsia" w:ascii="宋体" w:hAnsi="宋体"/>
          <w:sz w:val="24"/>
        </w:rPr>
      </w:pPr>
      <w:r>
        <w:rPr>
          <w:rFonts w:hint="eastAsia" w:ascii="宋体" w:hAnsi="宋体"/>
          <w:sz w:val="24"/>
        </w:rPr>
        <w:t>参与招标会议成员有有下列情形之一的，应主动提出回避，采购部门也可以要求招标小组成员回避：</w:t>
      </w:r>
    </w:p>
    <w:p>
      <w:pPr>
        <w:numPr>
          <w:ilvl w:val="2"/>
          <w:numId w:val="5"/>
        </w:numPr>
        <w:spacing w:line="360" w:lineRule="auto"/>
        <w:ind w:left="0" w:firstLine="0"/>
        <w:jc w:val="left"/>
        <w:rPr>
          <w:rFonts w:hint="eastAsia" w:ascii="宋体" w:hAnsi="宋体"/>
          <w:sz w:val="24"/>
        </w:rPr>
      </w:pPr>
      <w:r>
        <w:rPr>
          <w:rFonts w:hint="eastAsia" w:ascii="宋体" w:hAnsi="宋体"/>
          <w:sz w:val="24"/>
        </w:rPr>
        <w:t>本人、配偶或直系亲属3年内曾在参加该采购项目的供应商中任职（包括一般工作）或担任顾问，或与参加该采购项目的供应商发生过法律纠纷；</w:t>
      </w:r>
    </w:p>
    <w:p>
      <w:pPr>
        <w:numPr>
          <w:ilvl w:val="2"/>
          <w:numId w:val="5"/>
        </w:numPr>
        <w:spacing w:line="360" w:lineRule="auto"/>
        <w:ind w:hanging="2160"/>
        <w:jc w:val="left"/>
        <w:rPr>
          <w:rFonts w:hint="eastAsia" w:ascii="宋体" w:hAnsi="宋体"/>
          <w:sz w:val="24"/>
        </w:rPr>
      </w:pPr>
      <w:r>
        <w:rPr>
          <w:rFonts w:hint="eastAsia" w:ascii="宋体" w:hAnsi="宋体"/>
          <w:sz w:val="24"/>
        </w:rPr>
        <w:t>任职单位与采购人或参加该采购项目供应商存在行政隶属关系；</w:t>
      </w:r>
    </w:p>
    <w:p>
      <w:pPr>
        <w:numPr>
          <w:ilvl w:val="2"/>
          <w:numId w:val="5"/>
        </w:numPr>
        <w:spacing w:line="360" w:lineRule="auto"/>
        <w:ind w:left="0" w:firstLine="0"/>
        <w:jc w:val="left"/>
        <w:rPr>
          <w:rFonts w:hint="eastAsia" w:ascii="宋体" w:hAnsi="宋体"/>
          <w:sz w:val="24"/>
        </w:rPr>
      </w:pPr>
      <w:r>
        <w:rPr>
          <w:rFonts w:hint="eastAsia" w:ascii="宋体" w:hAnsi="宋体"/>
          <w:sz w:val="24"/>
        </w:rPr>
        <w:t>曾经参加过该采购项目的进口产品或采购文件、采购需求、采购方式的论证和咨询服务工作；</w:t>
      </w:r>
    </w:p>
    <w:p>
      <w:pPr>
        <w:numPr>
          <w:ilvl w:val="2"/>
          <w:numId w:val="5"/>
        </w:numPr>
        <w:spacing w:line="360" w:lineRule="auto"/>
        <w:ind w:left="0" w:firstLine="0"/>
        <w:jc w:val="left"/>
        <w:rPr>
          <w:rFonts w:hint="eastAsia" w:ascii="宋体" w:hAnsi="宋体"/>
          <w:sz w:val="24"/>
        </w:rPr>
      </w:pPr>
      <w:r>
        <w:rPr>
          <w:rFonts w:hint="eastAsia" w:ascii="宋体" w:hAnsi="宋体"/>
          <w:sz w:val="24"/>
        </w:rPr>
        <w:t>是参加该采购项目供应商的上级主管部门、控股或参股单位的工作人员，或与该供应商存在其他经济利益关系；</w:t>
      </w:r>
    </w:p>
    <w:p>
      <w:pPr>
        <w:numPr>
          <w:ilvl w:val="2"/>
          <w:numId w:val="5"/>
        </w:numPr>
        <w:spacing w:line="360" w:lineRule="auto"/>
        <w:ind w:hanging="2160"/>
        <w:jc w:val="left"/>
        <w:rPr>
          <w:rFonts w:hint="eastAsia" w:ascii="宋体" w:hAnsi="宋体"/>
          <w:sz w:val="24"/>
        </w:rPr>
      </w:pPr>
      <w:r>
        <w:rPr>
          <w:rFonts w:hint="eastAsia" w:ascii="宋体" w:hAnsi="宋体"/>
          <w:sz w:val="24"/>
        </w:rPr>
        <w:t>招标小组成员之间具有配偶、近亲属关系；</w:t>
      </w:r>
    </w:p>
    <w:p>
      <w:pPr>
        <w:numPr>
          <w:ilvl w:val="2"/>
          <w:numId w:val="5"/>
        </w:numPr>
        <w:spacing w:line="360" w:lineRule="auto"/>
        <w:ind w:hanging="2160"/>
        <w:jc w:val="left"/>
        <w:rPr>
          <w:rFonts w:hint="eastAsia" w:ascii="宋体" w:hAnsi="宋体"/>
          <w:sz w:val="24"/>
        </w:rPr>
      </w:pPr>
      <w:r>
        <w:rPr>
          <w:rFonts w:hint="eastAsia" w:ascii="宋体" w:hAnsi="宋体"/>
          <w:sz w:val="24"/>
        </w:rPr>
        <w:t>法律、法规、规章规定应当回避以及其他可能影响公正评审的</w:t>
      </w:r>
    </w:p>
    <w:p>
      <w:pPr>
        <w:spacing w:line="360" w:lineRule="auto"/>
        <w:rPr>
          <w:rFonts w:hint="eastAsia" w:ascii="宋体" w:hAnsi="宋体"/>
          <w:sz w:val="24"/>
        </w:rPr>
      </w:pPr>
      <w:r>
        <w:rPr>
          <w:rFonts w:hint="eastAsia" w:ascii="宋体" w:hAnsi="宋体"/>
          <w:sz w:val="24"/>
        </w:rPr>
        <w:t>1）招标小组成员判断投标文件的有效性、合格性和响应情况，仅依据投标人所递交一切文件的真实表述，不受与本项目无直接关联的外部信息、传言而影响自身的专业判断。</w:t>
      </w:r>
    </w:p>
    <w:p>
      <w:pPr>
        <w:spacing w:line="360" w:lineRule="auto"/>
        <w:rPr>
          <w:rStyle w:val="19"/>
          <w:rFonts w:hint="eastAsia" w:ascii="宋体" w:hAnsi="宋体"/>
          <w:sz w:val="24"/>
          <w:szCs w:val="24"/>
        </w:rPr>
      </w:pPr>
      <w:r>
        <w:rPr>
          <w:rFonts w:hint="eastAsia" w:ascii="宋体" w:hAnsi="宋体"/>
          <w:sz w:val="24"/>
        </w:rPr>
        <w:t>2）招标小组成员</w:t>
      </w:r>
      <w:r>
        <w:rPr>
          <w:rFonts w:ascii="宋体" w:hAnsi="宋体"/>
          <w:sz w:val="24"/>
        </w:rPr>
        <w:t>依法独立评审，并对评审意见承担个人责任。对需要共同认定的事项存在争议的，按照少数服从多数的原则做出结论。持不同意见的应当在评审报告上签署不同意见并说明理由，否则视为同意。</w:t>
      </w:r>
    </w:p>
    <w:p>
      <w:pPr>
        <w:spacing w:line="360" w:lineRule="auto"/>
        <w:jc w:val="left"/>
        <w:outlineLvl w:val="1"/>
        <w:rPr>
          <w:rFonts w:hint="eastAsia" w:ascii="宋体" w:hAnsi="宋体"/>
          <w:b/>
          <w:sz w:val="24"/>
          <w:highlight w:val="white"/>
        </w:rPr>
      </w:pPr>
      <w:r>
        <w:rPr>
          <w:rFonts w:hint="eastAsia" w:ascii="宋体" w:hAnsi="宋体"/>
          <w:b/>
          <w:sz w:val="24"/>
          <w:highlight w:val="white"/>
        </w:rPr>
        <w:t>二、招标招标方法：</w:t>
      </w:r>
    </w:p>
    <w:p>
      <w:pPr>
        <w:spacing w:line="360" w:lineRule="auto"/>
        <w:rPr>
          <w:rFonts w:hint="eastAsia" w:ascii="宋体" w:hAnsi="宋体"/>
          <w:sz w:val="24"/>
        </w:rPr>
      </w:pPr>
      <w:r>
        <w:rPr>
          <w:rFonts w:hint="eastAsia" w:ascii="宋体" w:hAnsi="宋体"/>
          <w:sz w:val="24"/>
        </w:rPr>
        <w:t>1、本次招标采用</w:t>
      </w:r>
      <w:r>
        <w:rPr>
          <w:rFonts w:hint="eastAsia" w:ascii="宋体" w:hAnsi="宋体"/>
          <w:b/>
          <w:sz w:val="24"/>
          <w:lang w:eastAsia="zh-CN"/>
        </w:rPr>
        <w:t>最低</w:t>
      </w:r>
      <w:r>
        <w:rPr>
          <w:rFonts w:hint="eastAsia" w:ascii="宋体" w:hAnsi="宋体"/>
          <w:b/>
          <w:sz w:val="24"/>
        </w:rPr>
        <w:t>报价</w:t>
      </w:r>
      <w:r>
        <w:rPr>
          <w:rFonts w:hint="eastAsia" w:ascii="宋体" w:hAnsi="宋体"/>
          <w:b/>
          <w:sz w:val="24"/>
          <w:lang w:eastAsia="zh-CN"/>
        </w:rPr>
        <w:t>原则</w:t>
      </w:r>
      <w:r>
        <w:rPr>
          <w:rFonts w:hint="eastAsia" w:ascii="宋体" w:hAnsi="宋体"/>
          <w:sz w:val="24"/>
        </w:rPr>
        <w:t>确定服务单位。</w:t>
      </w:r>
    </w:p>
    <w:p>
      <w:pPr>
        <w:spacing w:line="360" w:lineRule="auto"/>
        <w:rPr>
          <w:rFonts w:hint="eastAsia"/>
          <w:sz w:val="24"/>
        </w:rPr>
      </w:pPr>
      <w:r>
        <w:rPr>
          <w:rFonts w:hint="eastAsia"/>
          <w:sz w:val="24"/>
        </w:rPr>
        <w:t>2、报价文件出现差异时，修正原则及优先修正顺序如下：</w:t>
      </w:r>
    </w:p>
    <w:p>
      <w:pPr>
        <w:spacing w:line="360" w:lineRule="auto"/>
        <w:ind w:firstLine="360" w:firstLineChars="150"/>
        <w:rPr>
          <w:rFonts w:hint="eastAsia" w:ascii="宋体" w:hAnsi="宋体"/>
          <w:sz w:val="24"/>
        </w:rPr>
      </w:pPr>
      <w:r>
        <w:rPr>
          <w:rFonts w:hint="eastAsia" w:ascii="宋体" w:hAnsi="宋体"/>
          <w:sz w:val="24"/>
        </w:rPr>
        <w:t>①报价表与分项明细表或其它相关报价表报价不一致的，均以报价表为准；</w:t>
      </w:r>
    </w:p>
    <w:p>
      <w:pPr>
        <w:spacing w:line="360" w:lineRule="auto"/>
        <w:ind w:firstLine="360" w:firstLineChars="150"/>
        <w:rPr>
          <w:rFonts w:hint="eastAsia" w:ascii="宋体" w:hAnsi="宋体"/>
          <w:sz w:val="24"/>
        </w:rPr>
      </w:pPr>
      <w:r>
        <w:rPr>
          <w:rFonts w:hint="eastAsia" w:ascii="宋体" w:hAnsi="宋体"/>
          <w:sz w:val="24"/>
        </w:rPr>
        <w:t>②报价总表中各分项报价之和与投标总价不一致的，以投标单价修正总价；</w:t>
      </w:r>
    </w:p>
    <w:p>
      <w:pPr>
        <w:spacing w:line="360" w:lineRule="auto"/>
        <w:rPr>
          <w:rFonts w:hint="eastAsia" w:ascii="宋体" w:hAnsi="宋体"/>
          <w:sz w:val="24"/>
        </w:rPr>
      </w:pPr>
      <w:r>
        <w:rPr>
          <w:rFonts w:hint="eastAsia" w:ascii="宋体" w:hAnsi="宋体"/>
          <w:sz w:val="24"/>
        </w:rPr>
        <w:t>分项报价表中的单价与对应的合计价不相符的，以单价为准，修正对应的该项合计价；</w:t>
      </w:r>
    </w:p>
    <w:p>
      <w:pPr>
        <w:spacing w:line="360" w:lineRule="auto"/>
        <w:ind w:firstLine="480" w:firstLineChars="200"/>
        <w:rPr>
          <w:rFonts w:hint="eastAsia" w:ascii="宋体" w:hAnsi="宋体"/>
          <w:sz w:val="24"/>
        </w:rPr>
      </w:pPr>
      <w:r>
        <w:rPr>
          <w:rFonts w:hint="eastAsia" w:ascii="宋体" w:hAnsi="宋体"/>
          <w:sz w:val="24"/>
        </w:rPr>
        <w:t>③大写金额和小写金额不一致的，以大写金额为准；</w:t>
      </w:r>
    </w:p>
    <w:p>
      <w:pPr>
        <w:spacing w:line="360" w:lineRule="auto"/>
        <w:ind w:firstLine="480" w:firstLineChars="200"/>
        <w:rPr>
          <w:rFonts w:hint="eastAsia" w:ascii="宋体" w:hAnsi="宋体"/>
          <w:sz w:val="24"/>
        </w:rPr>
      </w:pPr>
      <w:r>
        <w:rPr>
          <w:rFonts w:hint="eastAsia" w:ascii="宋体" w:hAnsi="宋体"/>
          <w:sz w:val="24"/>
        </w:rPr>
        <w:t>④单价金额小数点有明显错位的，应以总价为准，并修改单价；</w:t>
      </w:r>
    </w:p>
    <w:p>
      <w:pPr>
        <w:numPr>
          <w:ilvl w:val="0"/>
          <w:numId w:val="6"/>
        </w:numPr>
        <w:spacing w:line="360" w:lineRule="auto"/>
        <w:rPr>
          <w:rFonts w:hint="eastAsia" w:ascii="宋体" w:hAnsi="宋体"/>
          <w:sz w:val="24"/>
        </w:rPr>
      </w:pPr>
      <w:r>
        <w:rPr>
          <w:rFonts w:hint="eastAsia" w:ascii="宋体" w:hAnsi="宋体"/>
          <w:sz w:val="24"/>
        </w:rPr>
        <w:t>投标文件描述内容与原始材料引述内容不一致的，以原始材料内容为准；</w:t>
      </w:r>
    </w:p>
    <w:p>
      <w:pPr>
        <w:numPr>
          <w:ilvl w:val="0"/>
          <w:numId w:val="6"/>
        </w:numPr>
        <w:spacing w:line="360" w:lineRule="auto"/>
        <w:ind w:left="0" w:firstLine="424" w:firstLineChars="177"/>
        <w:rPr>
          <w:rFonts w:hint="eastAsia" w:ascii="宋体" w:hAnsi="宋体"/>
          <w:sz w:val="24"/>
        </w:rPr>
      </w:pPr>
      <w:r>
        <w:rPr>
          <w:rFonts w:hint="eastAsia" w:ascii="宋体" w:hAnsi="宋体"/>
          <w:sz w:val="24"/>
        </w:rPr>
        <w:t>对出现以上情况或因明显笔误而需修正任何内容时，均以评委会审定通过方为有效；</w:t>
      </w:r>
    </w:p>
    <w:p>
      <w:pPr>
        <w:spacing w:line="360" w:lineRule="auto"/>
        <w:ind w:firstLine="480" w:firstLineChars="200"/>
        <w:rPr>
          <w:rFonts w:hint="eastAsia" w:ascii="宋体" w:hAnsi="宋体"/>
          <w:sz w:val="24"/>
        </w:rPr>
      </w:pPr>
      <w:r>
        <w:rPr>
          <w:rFonts w:hint="eastAsia" w:ascii="宋体" w:hAnsi="宋体"/>
          <w:sz w:val="24"/>
        </w:rPr>
        <w:t>⑦对投标报价的关键、主要内容，投标人报价漏项的，作非实质性响应投标处理；</w:t>
      </w:r>
    </w:p>
    <w:p>
      <w:pPr>
        <w:spacing w:line="360" w:lineRule="auto"/>
        <w:jc w:val="left"/>
        <w:outlineLvl w:val="1"/>
        <w:rPr>
          <w:rFonts w:hint="eastAsia" w:ascii="宋体" w:hAnsi="宋体"/>
          <w:b/>
          <w:sz w:val="24"/>
          <w:highlight w:val="white"/>
        </w:rPr>
      </w:pPr>
      <w:r>
        <w:rPr>
          <w:rFonts w:hint="eastAsia" w:ascii="宋体" w:hAnsi="宋体"/>
          <w:b/>
          <w:sz w:val="24"/>
          <w:highlight w:val="white"/>
        </w:rPr>
        <w:t>三、招标程序</w:t>
      </w:r>
    </w:p>
    <w:p>
      <w:pPr>
        <w:spacing w:line="360" w:lineRule="auto"/>
        <w:ind w:firstLine="360" w:firstLineChars="150"/>
        <w:rPr>
          <w:rFonts w:hint="eastAsia" w:ascii="宋体" w:hAnsi="宋体"/>
          <w:sz w:val="24"/>
        </w:rPr>
      </w:pPr>
      <w:r>
        <w:rPr>
          <w:rFonts w:hint="eastAsia" w:ascii="宋体" w:hAnsi="宋体"/>
          <w:sz w:val="24"/>
        </w:rPr>
        <w:t>1、组织招标会议，招标小组成员签字，评审过程由院纪检监督员监督。</w:t>
      </w:r>
    </w:p>
    <w:p>
      <w:pPr>
        <w:spacing w:line="360" w:lineRule="auto"/>
        <w:ind w:firstLine="360" w:firstLineChars="150"/>
        <w:rPr>
          <w:rFonts w:hint="eastAsia" w:ascii="宋体" w:hAnsi="宋体"/>
          <w:sz w:val="24"/>
        </w:rPr>
      </w:pPr>
      <w:r>
        <w:rPr>
          <w:rFonts w:hint="eastAsia" w:ascii="宋体" w:hAnsi="宋体"/>
          <w:sz w:val="24"/>
        </w:rPr>
        <w:t xml:space="preserve">2、招标小组成员审核投标文件； </w:t>
      </w:r>
    </w:p>
    <w:p>
      <w:pPr>
        <w:spacing w:line="360" w:lineRule="auto"/>
        <w:ind w:firstLine="360" w:firstLineChars="150"/>
        <w:rPr>
          <w:rFonts w:hint="eastAsia" w:ascii="宋体" w:hAnsi="宋体"/>
          <w:sz w:val="24"/>
        </w:rPr>
      </w:pPr>
      <w:r>
        <w:rPr>
          <w:rFonts w:hint="eastAsia" w:ascii="宋体" w:hAnsi="宋体"/>
          <w:sz w:val="24"/>
        </w:rPr>
        <w:t xml:space="preserve">3、招标小组成员查看报价情况，采用最低报价，确定项目采购候选人名单； </w:t>
      </w:r>
    </w:p>
    <w:p>
      <w:pPr>
        <w:spacing w:line="360" w:lineRule="auto"/>
        <w:ind w:firstLine="360" w:firstLineChars="150"/>
        <w:rPr>
          <w:rFonts w:hint="eastAsia" w:ascii="宋体" w:hAnsi="宋体"/>
          <w:sz w:val="24"/>
        </w:rPr>
      </w:pPr>
      <w:r>
        <w:rPr>
          <w:rFonts w:ascii="宋体" w:hAnsi="宋体"/>
          <w:sz w:val="24"/>
        </w:rPr>
        <w:t>4</w:t>
      </w:r>
      <w:r>
        <w:rPr>
          <w:rFonts w:hint="eastAsia" w:ascii="宋体" w:hAnsi="宋体"/>
          <w:sz w:val="24"/>
        </w:rPr>
        <w:t>、招标工作结束。</w:t>
      </w:r>
    </w:p>
    <w:p>
      <w:pPr>
        <w:spacing w:line="360" w:lineRule="auto"/>
        <w:jc w:val="left"/>
        <w:outlineLvl w:val="1"/>
        <w:rPr>
          <w:rFonts w:ascii="宋体" w:hAnsi="宋体" w:cs="Arial"/>
          <w:b/>
          <w:sz w:val="24"/>
        </w:rPr>
      </w:pPr>
      <w:r>
        <w:rPr>
          <w:rFonts w:hint="eastAsia" w:ascii="宋体" w:hAnsi="宋体" w:cs="Arial"/>
          <w:b/>
          <w:sz w:val="24"/>
        </w:rPr>
        <w:t>四、</w:t>
      </w:r>
      <w:bookmarkStart w:id="11" w:name="_Toc101771377"/>
      <w:bookmarkStart w:id="12" w:name="_Toc101775130"/>
      <w:bookmarkStart w:id="13" w:name="_Toc101843130"/>
      <w:bookmarkStart w:id="14" w:name="_Toc101951268"/>
      <w:bookmarkStart w:id="15" w:name="_Toc314496537"/>
      <w:r>
        <w:rPr>
          <w:rFonts w:hint="eastAsia" w:ascii="宋体" w:hAnsi="宋体" w:cs="Arial"/>
          <w:b/>
          <w:sz w:val="24"/>
        </w:rPr>
        <w:t>项目废标处理</w:t>
      </w:r>
      <w:bookmarkEnd w:id="11"/>
      <w:bookmarkEnd w:id="12"/>
      <w:bookmarkEnd w:id="13"/>
      <w:bookmarkEnd w:id="14"/>
      <w:bookmarkEnd w:id="15"/>
    </w:p>
    <w:p>
      <w:pPr>
        <w:widowControl/>
        <w:tabs>
          <w:tab w:val="left" w:pos="720"/>
        </w:tabs>
        <w:adjustRightInd w:val="0"/>
        <w:snapToGrid w:val="0"/>
        <w:spacing w:line="360" w:lineRule="auto"/>
        <w:ind w:firstLine="480" w:firstLineChars="200"/>
        <w:jc w:val="left"/>
        <w:rPr>
          <w:rFonts w:ascii="宋体" w:hAnsi="宋体" w:cs="Tahoma"/>
          <w:kern w:val="28"/>
          <w:sz w:val="24"/>
        </w:rPr>
      </w:pPr>
      <w:r>
        <w:rPr>
          <w:rFonts w:hint="eastAsia" w:ascii="宋体" w:hAnsi="宋体" w:cs="Tahoma"/>
          <w:kern w:val="28"/>
          <w:sz w:val="24"/>
        </w:rPr>
        <w:t>出现下列情况将作废标处理：1、符合专业资格条件的投标人或者对招标文件作实质响应的有效投标人不足三家的；2、出现影响采购公正的违法、违规行为的； 3、投标人的报价均超过了采购预算，采购人不能支付的；4、因重大变故，采购任务取消的。</w:t>
      </w:r>
    </w:p>
    <w:p>
      <w:pPr>
        <w:spacing w:line="360" w:lineRule="auto"/>
        <w:jc w:val="left"/>
        <w:outlineLvl w:val="1"/>
        <w:rPr>
          <w:rFonts w:hint="eastAsia" w:ascii="宋体" w:hAnsi="宋体"/>
          <w:b/>
          <w:sz w:val="24"/>
          <w:highlight w:val="white"/>
        </w:rPr>
      </w:pPr>
      <w:r>
        <w:rPr>
          <w:rFonts w:hint="eastAsia" w:ascii="宋体" w:hAnsi="宋体"/>
          <w:b/>
          <w:sz w:val="24"/>
          <w:highlight w:val="white"/>
        </w:rPr>
        <w:t>五、中标供应商推荐</w:t>
      </w:r>
    </w:p>
    <w:p>
      <w:pPr>
        <w:spacing w:line="360" w:lineRule="auto"/>
        <w:ind w:firstLine="360" w:firstLineChars="150"/>
        <w:rPr>
          <w:rFonts w:hint="eastAsia" w:ascii="宋体" w:hAnsi="宋体"/>
          <w:sz w:val="24"/>
        </w:rPr>
      </w:pPr>
      <w:r>
        <w:rPr>
          <w:rFonts w:hint="eastAsia" w:ascii="宋体" w:hAnsi="宋体"/>
          <w:sz w:val="24"/>
        </w:rPr>
        <w:t>招标工作小组</w:t>
      </w:r>
      <w:r>
        <w:rPr>
          <w:rFonts w:ascii="宋体" w:hAnsi="宋体"/>
          <w:sz w:val="24"/>
        </w:rPr>
        <w:t>按上述排列向采购</w:t>
      </w:r>
      <w:r>
        <w:rPr>
          <w:rFonts w:hint="eastAsia" w:ascii="宋体" w:hAnsi="宋体"/>
          <w:sz w:val="24"/>
        </w:rPr>
        <w:t>部门</w:t>
      </w:r>
      <w:r>
        <w:rPr>
          <w:rFonts w:ascii="宋体" w:hAnsi="宋体"/>
          <w:sz w:val="24"/>
        </w:rPr>
        <w:t>推荐第一名为中标供应商，第二名为候补中标供应商。</w:t>
      </w:r>
    </w:p>
    <w:p>
      <w:pPr>
        <w:pageBreakBefore/>
        <w:jc w:val="center"/>
        <w:rPr>
          <w:b/>
          <w:sz w:val="32"/>
          <w:szCs w:val="32"/>
        </w:rPr>
      </w:pPr>
      <w:r>
        <w:rPr>
          <w:rFonts w:hint="eastAsia"/>
          <w:b/>
          <w:sz w:val="32"/>
          <w:szCs w:val="32"/>
        </w:rPr>
        <w:t>投标文件附件格式</w:t>
      </w:r>
    </w:p>
    <w:p>
      <w:pPr>
        <w:jc w:val="center"/>
        <w:rPr>
          <w:rFonts w:ascii="宋体" w:hAnsi="宋体" w:cs="Arial"/>
          <w:b/>
          <w:bCs/>
          <w:szCs w:val="21"/>
        </w:rPr>
      </w:pPr>
    </w:p>
    <w:p>
      <w:pPr>
        <w:spacing w:line="360" w:lineRule="auto"/>
        <w:jc w:val="center"/>
        <w:rPr>
          <w:rFonts w:hint="eastAsia" w:ascii="宋体" w:hAnsi="宋体" w:cs="Arial"/>
          <w:b/>
          <w:bCs/>
          <w:sz w:val="24"/>
        </w:rPr>
      </w:pPr>
      <w:r>
        <w:rPr>
          <w:rFonts w:ascii="宋体" w:hAnsi="宋体" w:cs="Arial"/>
          <w:b/>
          <w:bCs/>
          <w:sz w:val="24"/>
        </w:rPr>
        <w:t>附件</w:t>
      </w:r>
      <w:r>
        <w:rPr>
          <w:rFonts w:hint="eastAsia" w:ascii="宋体" w:hAnsi="宋体" w:cs="Arial"/>
          <w:b/>
          <w:bCs/>
          <w:sz w:val="24"/>
        </w:rPr>
        <w:t>格式</w:t>
      </w:r>
      <w:r>
        <w:rPr>
          <w:rFonts w:ascii="宋体" w:hAnsi="宋体" w:cs="Arial"/>
          <w:b/>
          <w:bCs/>
          <w:sz w:val="24"/>
        </w:rPr>
        <w:t xml:space="preserve">1  </w:t>
      </w:r>
      <w:r>
        <w:rPr>
          <w:rFonts w:hint="eastAsia" w:ascii="宋体" w:hAnsi="宋体" w:cs="Arial"/>
          <w:b/>
          <w:bCs/>
          <w:sz w:val="24"/>
        </w:rPr>
        <w:t>投标</w:t>
      </w:r>
      <w:r>
        <w:rPr>
          <w:rFonts w:ascii="宋体" w:hAnsi="宋体" w:cs="Arial"/>
          <w:b/>
          <w:bCs/>
          <w:sz w:val="24"/>
        </w:rPr>
        <w:t>函</w:t>
      </w:r>
    </w:p>
    <w:p>
      <w:pPr>
        <w:jc w:val="center"/>
        <w:rPr>
          <w:rFonts w:ascii="宋体" w:hAnsi="宋体" w:cs="Arial"/>
          <w:b/>
          <w:bCs/>
          <w:szCs w:val="21"/>
        </w:rPr>
      </w:pPr>
    </w:p>
    <w:p>
      <w:pPr>
        <w:spacing w:line="360" w:lineRule="auto"/>
        <w:rPr>
          <w:rFonts w:ascii="宋体" w:hAnsi="宋体"/>
          <w:sz w:val="24"/>
          <w:highlight w:val="white"/>
        </w:rPr>
      </w:pPr>
      <w:r>
        <w:rPr>
          <w:rFonts w:ascii="宋体" w:hAnsi="宋体"/>
          <w:sz w:val="24"/>
          <w:highlight w:val="white"/>
        </w:rPr>
        <w:t>致：</w:t>
      </w:r>
      <w:r>
        <w:rPr>
          <w:rFonts w:hint="eastAsia" w:ascii="宋体" w:hAnsi="宋体"/>
          <w:sz w:val="24"/>
          <w:highlight w:val="white"/>
        </w:rPr>
        <w:t>广州市统计局</w:t>
      </w:r>
    </w:p>
    <w:p>
      <w:pPr>
        <w:spacing w:line="360" w:lineRule="auto"/>
        <w:ind w:firstLine="420"/>
        <w:rPr>
          <w:rFonts w:hint="eastAsia" w:ascii="宋体" w:hAnsi="宋体"/>
          <w:sz w:val="24"/>
          <w:highlight w:val="white"/>
        </w:rPr>
      </w:pPr>
      <w:r>
        <w:rPr>
          <w:rFonts w:ascii="宋体" w:hAnsi="宋体"/>
          <w:sz w:val="24"/>
          <w:highlight w:val="white"/>
        </w:rPr>
        <w:t>根据贵方发布的广州市统计局2019年</w:t>
      </w:r>
      <w:r>
        <w:rPr>
          <w:rFonts w:hint="eastAsia" w:ascii="宋体" w:hAnsi="宋体"/>
          <w:sz w:val="24"/>
          <w:highlight w:val="white"/>
        </w:rPr>
        <w:t>度</w:t>
      </w:r>
      <w:r>
        <w:rPr>
          <w:rFonts w:ascii="宋体" w:hAnsi="宋体"/>
          <w:sz w:val="24"/>
          <w:highlight w:val="white"/>
        </w:rPr>
        <w:t>信息安全管理服务</w:t>
      </w:r>
      <w:r>
        <w:rPr>
          <w:rFonts w:hint="eastAsia" w:ascii="宋体" w:hAnsi="宋体"/>
          <w:sz w:val="24"/>
          <w:highlight w:val="white"/>
        </w:rPr>
        <w:t>项目</w:t>
      </w:r>
      <w:r>
        <w:rPr>
          <w:rFonts w:ascii="宋体" w:hAnsi="宋体"/>
          <w:sz w:val="24"/>
          <w:highlight w:val="white"/>
        </w:rPr>
        <w:t>招标文件，本人代表投标人</w:t>
      </w:r>
      <w:r>
        <w:rPr>
          <w:rFonts w:ascii="宋体" w:hAnsi="宋体"/>
          <w:sz w:val="24"/>
          <w:highlight w:val="white"/>
          <w:u w:val="single"/>
        </w:rPr>
        <w:t xml:space="preserve">                                </w:t>
      </w:r>
      <w:r>
        <w:rPr>
          <w:rFonts w:ascii="宋体" w:hAnsi="宋体"/>
          <w:sz w:val="24"/>
          <w:highlight w:val="white"/>
        </w:rPr>
        <w:t>（投标人名称）参加投标，并提交投标文件。</w:t>
      </w:r>
    </w:p>
    <w:p>
      <w:pPr>
        <w:spacing w:line="360" w:lineRule="auto"/>
        <w:ind w:firstLine="420"/>
        <w:rPr>
          <w:rFonts w:ascii="宋体" w:hAnsi="宋体"/>
          <w:sz w:val="24"/>
          <w:highlight w:val="white"/>
        </w:rPr>
      </w:pPr>
      <w:r>
        <w:rPr>
          <w:rFonts w:ascii="宋体" w:hAnsi="宋体"/>
          <w:sz w:val="24"/>
          <w:highlight w:val="white"/>
        </w:rPr>
        <w:t>据此函，本人宣布同意如下：</w:t>
      </w:r>
    </w:p>
    <w:p>
      <w:pPr>
        <w:spacing w:line="360" w:lineRule="auto"/>
        <w:ind w:firstLine="420"/>
        <w:rPr>
          <w:rFonts w:ascii="宋体" w:hAnsi="宋体"/>
          <w:sz w:val="24"/>
          <w:highlight w:val="white"/>
        </w:rPr>
      </w:pPr>
      <w:r>
        <w:rPr>
          <w:rFonts w:ascii="宋体" w:hAnsi="宋体"/>
          <w:sz w:val="24"/>
          <w:highlight w:val="white"/>
        </w:rPr>
        <w:t>1．项目投标</w:t>
      </w:r>
      <w:r>
        <w:rPr>
          <w:rFonts w:hint="eastAsia" w:ascii="宋体" w:hAnsi="宋体"/>
          <w:sz w:val="24"/>
          <w:highlight w:val="white"/>
        </w:rPr>
        <w:t>报</w:t>
      </w:r>
      <w:r>
        <w:rPr>
          <w:rFonts w:ascii="宋体" w:hAnsi="宋体"/>
          <w:sz w:val="24"/>
          <w:highlight w:val="white"/>
        </w:rPr>
        <w:t>价</w:t>
      </w:r>
      <w:r>
        <w:rPr>
          <w:rFonts w:hint="eastAsia" w:ascii="宋体" w:hAnsi="宋体"/>
          <w:sz w:val="24"/>
          <w:highlight w:val="white"/>
        </w:rPr>
        <w:t>见</w:t>
      </w:r>
      <w:r>
        <w:rPr>
          <w:rFonts w:ascii="宋体" w:hAnsi="宋体"/>
          <w:sz w:val="24"/>
          <w:highlight w:val="white"/>
        </w:rPr>
        <w:t>所附《开标一览表》。</w:t>
      </w:r>
    </w:p>
    <w:p>
      <w:pPr>
        <w:spacing w:line="360" w:lineRule="auto"/>
        <w:ind w:firstLine="420"/>
        <w:rPr>
          <w:rFonts w:ascii="宋体" w:hAnsi="宋体"/>
          <w:sz w:val="24"/>
          <w:highlight w:val="white"/>
        </w:rPr>
      </w:pPr>
      <w:r>
        <w:rPr>
          <w:rFonts w:ascii="宋体" w:hAnsi="宋体"/>
          <w:sz w:val="24"/>
          <w:highlight w:val="white"/>
        </w:rPr>
        <w:t>2．我方郑重承诺：我方将全部满足招标文件中的各项实质性要求，如果发现投标文件中另有与招标文件中不一致的响应或没有响应，我方同意</w:t>
      </w:r>
      <w:r>
        <w:rPr>
          <w:rFonts w:hint="eastAsia" w:ascii="宋体" w:hAnsi="宋体"/>
          <w:sz w:val="24"/>
          <w:highlight w:val="white"/>
        </w:rPr>
        <w:t>采购</w:t>
      </w:r>
      <w:r>
        <w:rPr>
          <w:rFonts w:ascii="宋体" w:hAnsi="宋体"/>
          <w:sz w:val="24"/>
          <w:highlight w:val="white"/>
        </w:rPr>
        <w:t>人有权要求按照招标文件的要求提供服务。我方并同意按照招标文件的规定履行合同责任和义务。</w:t>
      </w:r>
    </w:p>
    <w:p>
      <w:pPr>
        <w:spacing w:line="360" w:lineRule="auto"/>
        <w:ind w:firstLine="420"/>
        <w:rPr>
          <w:rFonts w:ascii="宋体" w:hAnsi="宋体"/>
          <w:sz w:val="24"/>
          <w:highlight w:val="white"/>
        </w:rPr>
      </w:pPr>
      <w:r>
        <w:rPr>
          <w:rFonts w:ascii="宋体" w:hAnsi="宋体"/>
          <w:sz w:val="24"/>
          <w:highlight w:val="white"/>
        </w:rPr>
        <w:t>3．我方已详细审查全部招标文件，包括招标文件更正通知（如有的话）以及全部参考资料和有关附件。我们完全理解并同意放弃对这方面有不明及误解的权利。</w:t>
      </w:r>
    </w:p>
    <w:p>
      <w:pPr>
        <w:spacing w:line="360" w:lineRule="auto"/>
        <w:ind w:firstLine="420"/>
        <w:rPr>
          <w:rFonts w:ascii="宋体" w:hAnsi="宋体"/>
          <w:sz w:val="24"/>
          <w:highlight w:val="white"/>
        </w:rPr>
      </w:pPr>
      <w:r>
        <w:rPr>
          <w:rFonts w:ascii="宋体" w:hAnsi="宋体"/>
          <w:sz w:val="24"/>
          <w:highlight w:val="white"/>
        </w:rPr>
        <w:t>4．我方的投标文件自投标截止之日起有效期为</w:t>
      </w:r>
      <w:r>
        <w:rPr>
          <w:rFonts w:hint="eastAsia" w:ascii="宋体" w:hAnsi="宋体"/>
          <w:sz w:val="24"/>
          <w:highlight w:val="white"/>
        </w:rPr>
        <w:t>90天</w:t>
      </w:r>
      <w:r>
        <w:rPr>
          <w:rFonts w:ascii="宋体" w:hAnsi="宋体"/>
          <w:sz w:val="24"/>
          <w:highlight w:val="white"/>
        </w:rPr>
        <w:t>。</w:t>
      </w:r>
    </w:p>
    <w:p>
      <w:pPr>
        <w:spacing w:line="360" w:lineRule="auto"/>
        <w:ind w:firstLine="420"/>
        <w:rPr>
          <w:rFonts w:ascii="宋体" w:hAnsi="宋体"/>
          <w:sz w:val="24"/>
          <w:highlight w:val="white"/>
        </w:rPr>
      </w:pPr>
      <w:r>
        <w:rPr>
          <w:rFonts w:ascii="宋体" w:hAnsi="宋体"/>
          <w:sz w:val="24"/>
          <w:highlight w:val="white"/>
        </w:rPr>
        <w:t>5．</w:t>
      </w:r>
      <w:r>
        <w:rPr>
          <w:rFonts w:hint="eastAsia" w:ascii="宋体" w:hAnsi="宋体"/>
          <w:sz w:val="24"/>
          <w:highlight w:val="white"/>
        </w:rPr>
        <w:t>我方声明投标文件及所提供的一切资料均真实无误及有效。由于我方提供资料不实而造成的责任和后果由我方承担。我方同意按照贵方提出的要求，提供与投标有关的任何其他数据或信息。</w:t>
      </w:r>
    </w:p>
    <w:p>
      <w:pPr>
        <w:spacing w:line="360" w:lineRule="auto"/>
        <w:ind w:firstLine="420"/>
        <w:rPr>
          <w:rFonts w:ascii="宋体" w:hAnsi="宋体"/>
          <w:sz w:val="24"/>
          <w:highlight w:val="white"/>
        </w:rPr>
      </w:pPr>
      <w:r>
        <w:rPr>
          <w:rFonts w:ascii="宋体" w:hAnsi="宋体"/>
          <w:sz w:val="24"/>
          <w:highlight w:val="white"/>
        </w:rPr>
        <w:t>6．我方同意提供按照贵方可能要求的与我方投标有关的一切数据或资料，理解贵方不一定要接受最低价的投标或收到的任何投标。</w:t>
      </w:r>
    </w:p>
    <w:p>
      <w:pPr>
        <w:spacing w:line="360" w:lineRule="auto"/>
        <w:ind w:firstLine="420"/>
        <w:rPr>
          <w:rFonts w:ascii="宋体" w:hAnsi="宋体"/>
          <w:sz w:val="24"/>
          <w:highlight w:val="white"/>
        </w:rPr>
      </w:pPr>
      <w:r>
        <w:rPr>
          <w:rFonts w:ascii="宋体" w:hAnsi="宋体"/>
          <w:sz w:val="24"/>
          <w:highlight w:val="white"/>
        </w:rPr>
        <w:t>7．与本投标有关的一切正式往来通讯请寄：</w:t>
      </w:r>
    </w:p>
    <w:p>
      <w:pPr>
        <w:spacing w:line="360" w:lineRule="auto"/>
        <w:ind w:firstLine="420"/>
        <w:rPr>
          <w:rFonts w:hint="eastAsia" w:ascii="宋体" w:hAnsi="宋体"/>
          <w:sz w:val="24"/>
          <w:highlight w:val="white"/>
        </w:rPr>
      </w:pPr>
    </w:p>
    <w:p>
      <w:pPr>
        <w:spacing w:line="360" w:lineRule="auto"/>
        <w:ind w:firstLine="420"/>
        <w:rPr>
          <w:rFonts w:ascii="宋体" w:hAnsi="宋体"/>
          <w:sz w:val="24"/>
          <w:highlight w:val="white"/>
        </w:rPr>
      </w:pPr>
      <w:r>
        <w:rPr>
          <w:rFonts w:ascii="宋体" w:hAnsi="宋体"/>
          <w:sz w:val="24"/>
          <w:highlight w:val="white"/>
        </w:rPr>
        <w:t>地址：</w:t>
      </w:r>
      <w:r>
        <w:rPr>
          <w:rFonts w:ascii="宋体" w:hAnsi="宋体"/>
          <w:sz w:val="24"/>
          <w:highlight w:val="white"/>
        </w:rPr>
        <w:tab/>
      </w:r>
      <w:r>
        <w:rPr>
          <w:rFonts w:ascii="宋体" w:hAnsi="宋体"/>
          <w:sz w:val="24"/>
          <w:highlight w:val="white"/>
        </w:rPr>
        <w:t xml:space="preserve">           </w:t>
      </w:r>
      <w:r>
        <w:rPr>
          <w:rFonts w:ascii="宋体" w:hAnsi="宋体"/>
          <w:sz w:val="24"/>
          <w:highlight w:val="white"/>
        </w:rPr>
        <w:tab/>
      </w:r>
      <w:r>
        <w:rPr>
          <w:rFonts w:ascii="宋体" w:hAnsi="宋体"/>
          <w:sz w:val="24"/>
          <w:highlight w:val="white"/>
        </w:rPr>
        <w:tab/>
      </w:r>
      <w:r>
        <w:rPr>
          <w:rFonts w:ascii="宋体" w:hAnsi="宋体"/>
          <w:sz w:val="24"/>
          <w:highlight w:val="white"/>
        </w:rPr>
        <w:t xml:space="preserve">        </w:t>
      </w:r>
      <w:r>
        <w:rPr>
          <w:rFonts w:hint="eastAsia" w:ascii="宋体" w:hAnsi="宋体"/>
          <w:sz w:val="24"/>
          <w:highlight w:val="white"/>
        </w:rPr>
        <w:t xml:space="preserve">    </w:t>
      </w:r>
      <w:r>
        <w:rPr>
          <w:rFonts w:ascii="宋体" w:hAnsi="宋体"/>
          <w:sz w:val="24"/>
          <w:highlight w:val="white"/>
        </w:rPr>
        <w:t>邮编：</w:t>
      </w:r>
    </w:p>
    <w:p>
      <w:pPr>
        <w:spacing w:line="360" w:lineRule="auto"/>
        <w:ind w:firstLine="420"/>
        <w:rPr>
          <w:rFonts w:ascii="宋体" w:hAnsi="宋体"/>
          <w:sz w:val="24"/>
          <w:highlight w:val="white"/>
        </w:rPr>
      </w:pPr>
      <w:r>
        <w:rPr>
          <w:rFonts w:ascii="宋体" w:hAnsi="宋体"/>
          <w:sz w:val="24"/>
          <w:highlight w:val="white"/>
        </w:rPr>
        <w:t>电话：</w:t>
      </w:r>
      <w:r>
        <w:rPr>
          <w:rFonts w:ascii="宋体" w:hAnsi="宋体"/>
          <w:sz w:val="24"/>
          <w:highlight w:val="white"/>
        </w:rPr>
        <w:tab/>
      </w:r>
      <w:r>
        <w:rPr>
          <w:rFonts w:ascii="宋体" w:hAnsi="宋体"/>
          <w:sz w:val="24"/>
          <w:highlight w:val="white"/>
        </w:rPr>
        <w:tab/>
      </w:r>
      <w:r>
        <w:rPr>
          <w:rFonts w:ascii="宋体" w:hAnsi="宋体"/>
          <w:sz w:val="24"/>
          <w:highlight w:val="white"/>
        </w:rPr>
        <w:tab/>
      </w:r>
      <w:r>
        <w:rPr>
          <w:rFonts w:ascii="宋体" w:hAnsi="宋体"/>
          <w:sz w:val="24"/>
          <w:highlight w:val="white"/>
        </w:rPr>
        <w:tab/>
      </w:r>
      <w:r>
        <w:rPr>
          <w:rFonts w:ascii="宋体" w:hAnsi="宋体"/>
          <w:sz w:val="24"/>
          <w:highlight w:val="white"/>
        </w:rPr>
        <w:tab/>
      </w:r>
      <w:r>
        <w:rPr>
          <w:rFonts w:ascii="宋体" w:hAnsi="宋体"/>
          <w:sz w:val="24"/>
          <w:highlight w:val="white"/>
        </w:rPr>
        <w:tab/>
      </w:r>
      <w:r>
        <w:rPr>
          <w:rFonts w:ascii="宋体" w:hAnsi="宋体"/>
          <w:sz w:val="24"/>
          <w:highlight w:val="white"/>
        </w:rPr>
        <w:tab/>
      </w:r>
      <w:r>
        <w:rPr>
          <w:rFonts w:ascii="宋体" w:hAnsi="宋体"/>
          <w:sz w:val="24"/>
          <w:highlight w:val="white"/>
        </w:rPr>
        <w:tab/>
      </w:r>
      <w:r>
        <w:rPr>
          <w:rFonts w:ascii="宋体" w:hAnsi="宋体"/>
          <w:sz w:val="24"/>
          <w:highlight w:val="white"/>
        </w:rPr>
        <w:t xml:space="preserve">      传真：</w:t>
      </w:r>
    </w:p>
    <w:p>
      <w:pPr>
        <w:spacing w:line="360" w:lineRule="auto"/>
        <w:ind w:firstLine="420"/>
        <w:rPr>
          <w:rFonts w:ascii="宋体" w:hAnsi="宋体"/>
          <w:sz w:val="24"/>
          <w:highlight w:val="white"/>
        </w:rPr>
      </w:pPr>
      <w:r>
        <w:rPr>
          <w:rFonts w:ascii="宋体" w:hAnsi="宋体"/>
          <w:sz w:val="24"/>
          <w:highlight w:val="white"/>
        </w:rPr>
        <w:t>投标人代表姓名、职务：</w:t>
      </w:r>
    </w:p>
    <w:p>
      <w:pPr>
        <w:spacing w:line="360" w:lineRule="auto"/>
        <w:ind w:right="-80" w:rightChars="-25" w:firstLine="360" w:firstLineChars="150"/>
        <w:rPr>
          <w:rFonts w:hint="eastAsia" w:ascii="宋体" w:hAnsi="宋体"/>
          <w:sz w:val="24"/>
          <w:highlight w:val="white"/>
        </w:rPr>
      </w:pPr>
      <w:r>
        <w:rPr>
          <w:rFonts w:ascii="宋体" w:hAnsi="宋体"/>
          <w:sz w:val="24"/>
          <w:highlight w:val="white"/>
        </w:rPr>
        <w:t>投标人名称：（公章）</w:t>
      </w:r>
      <w:r>
        <w:rPr>
          <w:rFonts w:ascii="宋体" w:hAnsi="宋体"/>
          <w:sz w:val="24"/>
          <w:highlight w:val="white"/>
        </w:rPr>
        <w:tab/>
      </w:r>
      <w:r>
        <w:rPr>
          <w:rFonts w:ascii="宋体" w:hAnsi="宋体"/>
          <w:sz w:val="24"/>
          <w:highlight w:val="white"/>
        </w:rPr>
        <w:tab/>
      </w:r>
      <w:r>
        <w:rPr>
          <w:rFonts w:ascii="宋体" w:hAnsi="宋体"/>
          <w:sz w:val="24"/>
          <w:highlight w:val="white"/>
        </w:rPr>
        <w:tab/>
      </w:r>
      <w:r>
        <w:rPr>
          <w:rFonts w:ascii="宋体" w:hAnsi="宋体"/>
          <w:sz w:val="24"/>
          <w:highlight w:val="white"/>
        </w:rPr>
        <w:tab/>
      </w:r>
      <w:r>
        <w:rPr>
          <w:rFonts w:ascii="宋体" w:hAnsi="宋体"/>
          <w:sz w:val="24"/>
          <w:highlight w:val="white"/>
        </w:rPr>
        <w:tab/>
      </w:r>
      <w:r>
        <w:rPr>
          <w:rFonts w:ascii="宋体" w:hAnsi="宋体"/>
          <w:sz w:val="24"/>
          <w:highlight w:val="white"/>
        </w:rPr>
        <w:tab/>
      </w:r>
      <w:r>
        <w:rPr>
          <w:rFonts w:ascii="宋体" w:hAnsi="宋体"/>
          <w:sz w:val="24"/>
          <w:highlight w:val="white"/>
        </w:rPr>
        <w:t xml:space="preserve"> </w:t>
      </w:r>
      <w:r>
        <w:rPr>
          <w:rFonts w:hint="eastAsia" w:ascii="宋体" w:hAnsi="宋体"/>
          <w:sz w:val="24"/>
          <w:highlight w:val="white"/>
        </w:rPr>
        <w:t xml:space="preserve"> </w:t>
      </w:r>
    </w:p>
    <w:p>
      <w:pPr>
        <w:spacing w:line="360" w:lineRule="auto"/>
        <w:ind w:right="-80" w:rightChars="-25" w:firstLine="360" w:firstLineChars="150"/>
        <w:rPr>
          <w:rFonts w:hint="eastAsia" w:ascii="宋体" w:hAnsi="宋体"/>
          <w:sz w:val="24"/>
          <w:highlight w:val="white"/>
        </w:rPr>
      </w:pPr>
      <w:r>
        <w:rPr>
          <w:rFonts w:ascii="宋体" w:hAnsi="宋体"/>
          <w:sz w:val="24"/>
          <w:highlight w:val="white"/>
        </w:rPr>
        <w:t xml:space="preserve"> 年   月    日</w:t>
      </w:r>
    </w:p>
    <w:p>
      <w:pPr>
        <w:spacing w:line="360" w:lineRule="auto"/>
        <w:ind w:firstLine="480" w:firstLineChars="200"/>
        <w:rPr>
          <w:rFonts w:ascii="宋体" w:hAnsi="宋体" w:cs="Arial"/>
          <w:sz w:val="24"/>
        </w:rPr>
      </w:pPr>
    </w:p>
    <w:p>
      <w:pPr>
        <w:spacing w:line="360" w:lineRule="auto"/>
        <w:jc w:val="center"/>
        <w:rPr>
          <w:rFonts w:ascii="宋体" w:hAnsi="宋体"/>
          <w:b/>
          <w:sz w:val="24"/>
        </w:rPr>
      </w:pPr>
    </w:p>
    <w:p>
      <w:pPr>
        <w:spacing w:line="360" w:lineRule="auto"/>
        <w:jc w:val="center"/>
        <w:rPr>
          <w:rFonts w:ascii="宋体" w:hAnsi="宋体"/>
          <w:b/>
          <w:sz w:val="24"/>
        </w:rPr>
      </w:pPr>
      <w:r>
        <w:rPr>
          <w:rFonts w:ascii="宋体" w:hAnsi="宋体"/>
          <w:b/>
          <w:sz w:val="24"/>
        </w:rPr>
        <w:t>附件</w:t>
      </w:r>
      <w:r>
        <w:rPr>
          <w:rFonts w:hint="eastAsia" w:ascii="宋体" w:hAnsi="宋体"/>
          <w:b/>
          <w:sz w:val="24"/>
        </w:rPr>
        <w:t>格式</w:t>
      </w:r>
      <w:r>
        <w:rPr>
          <w:rFonts w:ascii="宋体" w:hAnsi="宋体"/>
          <w:b/>
          <w:sz w:val="24"/>
        </w:rPr>
        <w:t>2   授权</w:t>
      </w:r>
      <w:r>
        <w:rPr>
          <w:rFonts w:hint="eastAsia" w:ascii="宋体" w:hAnsi="宋体"/>
          <w:b/>
          <w:sz w:val="24"/>
        </w:rPr>
        <w:t>委托</w:t>
      </w:r>
      <w:r>
        <w:rPr>
          <w:rFonts w:ascii="宋体" w:hAnsi="宋体"/>
          <w:b/>
          <w:sz w:val="24"/>
        </w:rPr>
        <w:t>书</w:t>
      </w:r>
    </w:p>
    <w:p>
      <w:pPr>
        <w:spacing w:line="360" w:lineRule="auto"/>
        <w:ind w:firstLine="616" w:firstLineChars="257"/>
        <w:rPr>
          <w:rFonts w:ascii="宋体" w:hAnsi="宋体" w:cs="Arial"/>
          <w:sz w:val="24"/>
        </w:rPr>
      </w:pPr>
    </w:p>
    <w:p>
      <w:pPr>
        <w:spacing w:line="360" w:lineRule="auto"/>
        <w:ind w:firstLine="616" w:firstLineChars="257"/>
        <w:rPr>
          <w:rFonts w:ascii="宋体" w:hAnsi="宋体" w:cs="Arial"/>
          <w:sz w:val="24"/>
        </w:rPr>
      </w:pPr>
      <w:r>
        <w:rPr>
          <w:rFonts w:hint="eastAsia" w:ascii="宋体" w:hAnsi="宋体" w:cs="Arial"/>
          <w:sz w:val="24"/>
        </w:rPr>
        <w:t>委托人：</w:t>
      </w:r>
      <w:r>
        <w:rPr>
          <w:rFonts w:ascii="宋体" w:hAnsi="宋体" w:cs="Arial"/>
          <w:sz w:val="24"/>
          <w:u w:val="single"/>
        </w:rPr>
        <w:t xml:space="preserve">                         </w:t>
      </w:r>
      <w:r>
        <w:rPr>
          <w:rFonts w:ascii="宋体" w:hAnsi="宋体" w:cs="Arial"/>
          <w:sz w:val="24"/>
        </w:rPr>
        <w:t>（</w:t>
      </w:r>
      <w:r>
        <w:rPr>
          <w:rFonts w:hint="eastAsia" w:ascii="宋体" w:hAnsi="宋体" w:cs="Arial"/>
          <w:sz w:val="24"/>
        </w:rPr>
        <w:t>供应商</w:t>
      </w:r>
      <w:r>
        <w:rPr>
          <w:rFonts w:ascii="宋体" w:hAnsi="宋体" w:cs="Arial"/>
          <w:sz w:val="24"/>
        </w:rPr>
        <w:t>名称）</w:t>
      </w:r>
      <w:r>
        <w:rPr>
          <w:rFonts w:hint="eastAsia" w:ascii="宋体" w:hAnsi="宋体" w:cs="Arial"/>
          <w:sz w:val="24"/>
        </w:rPr>
        <w:t>，住所：</w:t>
      </w:r>
      <w:r>
        <w:rPr>
          <w:rFonts w:ascii="宋体" w:hAnsi="宋体" w:cs="Arial"/>
          <w:sz w:val="24"/>
          <w:u w:val="single"/>
        </w:rPr>
        <w:t xml:space="preserve">                    </w:t>
      </w:r>
      <w:r>
        <w:rPr>
          <w:rFonts w:hint="eastAsia" w:ascii="宋体" w:hAnsi="宋体" w:cs="Arial"/>
          <w:sz w:val="24"/>
        </w:rPr>
        <w:t>（供应商地址），法定代表人</w:t>
      </w:r>
      <w:r>
        <w:rPr>
          <w:rFonts w:ascii="宋体" w:hAnsi="宋体" w:cs="Arial"/>
          <w:sz w:val="24"/>
          <w:u w:val="single"/>
        </w:rPr>
        <w:t xml:space="preserve">         </w:t>
      </w:r>
      <w:r>
        <w:rPr>
          <w:rFonts w:ascii="宋体" w:hAnsi="宋体" w:cs="Arial"/>
          <w:sz w:val="24"/>
        </w:rPr>
        <w:t>（法定代表人姓名）</w:t>
      </w:r>
      <w:r>
        <w:rPr>
          <w:rFonts w:hint="eastAsia" w:ascii="宋体" w:hAnsi="宋体" w:cs="Arial"/>
          <w:sz w:val="24"/>
        </w:rPr>
        <w:t>，电话：</w:t>
      </w:r>
      <w:r>
        <w:rPr>
          <w:rFonts w:ascii="宋体" w:hAnsi="宋体" w:cs="Arial"/>
          <w:sz w:val="24"/>
          <w:u w:val="single"/>
        </w:rPr>
        <w:t xml:space="preserve">               </w:t>
      </w:r>
      <w:r>
        <w:rPr>
          <w:rFonts w:ascii="宋体" w:hAnsi="宋体" w:cs="Arial"/>
          <w:sz w:val="24"/>
        </w:rPr>
        <w:t xml:space="preserve"> </w:t>
      </w:r>
      <w:r>
        <w:rPr>
          <w:rFonts w:hint="eastAsia" w:ascii="宋体" w:hAnsi="宋体" w:cs="Arial"/>
          <w:sz w:val="24"/>
        </w:rPr>
        <w:t>，邮政编码：</w:t>
      </w:r>
      <w:r>
        <w:rPr>
          <w:rFonts w:ascii="宋体" w:hAnsi="宋体" w:cs="Arial"/>
          <w:sz w:val="24"/>
          <w:u w:val="single"/>
        </w:rPr>
        <w:t xml:space="preserve">        </w:t>
      </w:r>
      <w:r>
        <w:rPr>
          <w:rFonts w:hint="eastAsia" w:ascii="宋体" w:hAnsi="宋体" w:cs="Arial"/>
          <w:sz w:val="24"/>
        </w:rPr>
        <w:t>。</w:t>
      </w:r>
      <w:r>
        <w:rPr>
          <w:rFonts w:ascii="宋体" w:hAnsi="宋体" w:cs="Arial"/>
          <w:sz w:val="24"/>
        </w:rPr>
        <w:t xml:space="preserve"> </w:t>
      </w:r>
    </w:p>
    <w:p>
      <w:pPr>
        <w:spacing w:line="360" w:lineRule="auto"/>
        <w:ind w:firstLine="616" w:firstLineChars="257"/>
        <w:rPr>
          <w:rFonts w:ascii="宋体" w:hAnsi="宋体" w:cs="Arial"/>
          <w:sz w:val="24"/>
        </w:rPr>
      </w:pPr>
      <w:r>
        <w:rPr>
          <w:rFonts w:hint="eastAsia" w:ascii="宋体" w:hAnsi="宋体" w:cs="Arial"/>
          <w:sz w:val="24"/>
        </w:rPr>
        <w:t>受委托人：</w:t>
      </w:r>
      <w:r>
        <w:rPr>
          <w:rFonts w:ascii="宋体" w:hAnsi="宋体" w:cs="Arial"/>
          <w:sz w:val="24"/>
          <w:u w:val="single"/>
        </w:rPr>
        <w:t xml:space="preserve">       </w:t>
      </w:r>
      <w:r>
        <w:rPr>
          <w:rFonts w:hint="eastAsia" w:ascii="宋体" w:hAnsi="宋体" w:cs="Arial"/>
          <w:sz w:val="24"/>
        </w:rPr>
        <w:t>（受委托人姓名），性别：</w:t>
      </w:r>
      <w:r>
        <w:rPr>
          <w:rFonts w:ascii="宋体" w:hAnsi="宋体" w:cs="Arial"/>
          <w:sz w:val="24"/>
          <w:u w:val="single"/>
        </w:rPr>
        <w:t xml:space="preserve">    </w:t>
      </w:r>
      <w:r>
        <w:rPr>
          <w:rFonts w:hint="eastAsia" w:ascii="宋体" w:hAnsi="宋体" w:cs="Arial"/>
          <w:sz w:val="24"/>
        </w:rPr>
        <w:t>，民族：</w:t>
      </w:r>
      <w:r>
        <w:rPr>
          <w:rFonts w:ascii="宋体" w:hAnsi="宋体" w:cs="Arial"/>
          <w:sz w:val="24"/>
          <w:u w:val="single"/>
        </w:rPr>
        <w:t xml:space="preserve">    </w:t>
      </w:r>
      <w:r>
        <w:rPr>
          <w:rFonts w:hint="eastAsia" w:ascii="宋体" w:hAnsi="宋体" w:cs="Arial"/>
          <w:sz w:val="24"/>
        </w:rPr>
        <w:t>，出生年月日：</w:t>
      </w:r>
      <w:r>
        <w:rPr>
          <w:rFonts w:ascii="宋体" w:hAnsi="宋体" w:cs="Arial"/>
          <w:sz w:val="24"/>
          <w:u w:val="single"/>
        </w:rPr>
        <w:t xml:space="preserve">    </w:t>
      </w:r>
      <w:r>
        <w:rPr>
          <w:rFonts w:hint="eastAsia" w:ascii="宋体" w:hAnsi="宋体" w:cs="Arial"/>
          <w:sz w:val="24"/>
        </w:rPr>
        <w:t>，身份证号码：</w:t>
      </w:r>
      <w:r>
        <w:rPr>
          <w:rFonts w:ascii="宋体" w:hAnsi="宋体" w:cs="Arial"/>
          <w:sz w:val="24"/>
          <w:u w:val="single"/>
        </w:rPr>
        <w:t xml:space="preserve">       </w:t>
      </w:r>
      <w:r>
        <w:rPr>
          <w:rFonts w:ascii="宋体" w:hAnsi="宋体" w:cs="Arial"/>
          <w:sz w:val="24"/>
        </w:rPr>
        <w:t xml:space="preserve"> </w:t>
      </w:r>
      <w:r>
        <w:rPr>
          <w:rFonts w:hint="eastAsia" w:ascii="宋体" w:hAnsi="宋体" w:cs="Arial"/>
          <w:sz w:val="24"/>
        </w:rPr>
        <w:t>，电话：</w:t>
      </w:r>
      <w:r>
        <w:rPr>
          <w:rFonts w:ascii="宋体" w:hAnsi="宋体" w:cs="Arial"/>
          <w:sz w:val="24"/>
          <w:u w:val="single"/>
        </w:rPr>
        <w:t xml:space="preserve">               </w:t>
      </w:r>
      <w:r>
        <w:rPr>
          <w:rFonts w:ascii="宋体" w:hAnsi="宋体" w:cs="Arial"/>
          <w:sz w:val="24"/>
        </w:rPr>
        <w:t xml:space="preserve"> </w:t>
      </w:r>
      <w:r>
        <w:rPr>
          <w:rFonts w:hint="eastAsia" w:ascii="宋体" w:hAnsi="宋体" w:cs="Arial"/>
          <w:sz w:val="24"/>
        </w:rPr>
        <w:t>，邮政编码：</w:t>
      </w:r>
      <w:r>
        <w:rPr>
          <w:rFonts w:ascii="宋体" w:hAnsi="宋体" w:cs="Arial"/>
          <w:sz w:val="24"/>
          <w:u w:val="single"/>
        </w:rPr>
        <w:t xml:space="preserve">       </w:t>
      </w:r>
      <w:r>
        <w:rPr>
          <w:rFonts w:ascii="宋体" w:hAnsi="宋体" w:cs="Arial"/>
          <w:sz w:val="24"/>
        </w:rPr>
        <w:t xml:space="preserve"> </w:t>
      </w:r>
      <w:r>
        <w:rPr>
          <w:rFonts w:hint="eastAsia" w:ascii="宋体" w:hAnsi="宋体" w:cs="Arial"/>
          <w:sz w:val="24"/>
        </w:rPr>
        <w:t>。</w:t>
      </w:r>
    </w:p>
    <w:p>
      <w:pPr>
        <w:spacing w:line="360" w:lineRule="auto"/>
        <w:ind w:firstLine="480" w:firstLineChars="200"/>
        <w:rPr>
          <w:rFonts w:ascii="宋体" w:hAnsi="宋体" w:cs="Arial"/>
          <w:sz w:val="24"/>
        </w:rPr>
      </w:pPr>
      <w:r>
        <w:rPr>
          <w:rFonts w:hint="eastAsia" w:ascii="宋体" w:hAnsi="宋体" w:cs="Arial"/>
          <w:sz w:val="24"/>
        </w:rPr>
        <w:t>兹委托上列受委托人担任委托人的代理人，代理参加“</w:t>
      </w:r>
      <w:r>
        <w:rPr>
          <w:rFonts w:hint="eastAsia" w:ascii="宋体" w:hAnsi="宋体"/>
          <w:bCs/>
          <w:sz w:val="24"/>
          <w:u w:val="single"/>
        </w:rPr>
        <w:t xml:space="preserve">       </w:t>
      </w:r>
      <w:r>
        <w:rPr>
          <w:rFonts w:hint="eastAsia" w:ascii="宋体" w:hAnsi="宋体" w:cs="Arial"/>
          <w:sz w:val="24"/>
        </w:rPr>
        <w:t>项目</w:t>
      </w:r>
      <w:r>
        <w:rPr>
          <w:rFonts w:hint="eastAsia" w:ascii="宋体" w:hAnsi="宋体" w:cs="Tahoma"/>
          <w:b/>
          <w:kern w:val="28"/>
          <w:sz w:val="24"/>
        </w:rPr>
        <w:t>”</w:t>
      </w:r>
      <w:r>
        <w:rPr>
          <w:rFonts w:hint="eastAsia" w:ascii="宋体" w:hAnsi="宋体" w:cs="Arial"/>
          <w:sz w:val="24"/>
        </w:rPr>
        <w:t>采购活动。受委托人代理权限如下：</w:t>
      </w:r>
    </w:p>
    <w:p>
      <w:pPr>
        <w:numPr>
          <w:ilvl w:val="0"/>
          <w:numId w:val="7"/>
        </w:numPr>
        <w:tabs>
          <w:tab w:val="left" w:pos="360"/>
          <w:tab w:val="clear" w:pos="720"/>
        </w:tabs>
        <w:spacing w:line="360" w:lineRule="auto"/>
        <w:ind w:left="0" w:firstLine="540"/>
        <w:rPr>
          <w:rFonts w:ascii="宋体" w:hAnsi="宋体" w:cs="Arial"/>
          <w:sz w:val="24"/>
        </w:rPr>
      </w:pPr>
      <w:r>
        <w:rPr>
          <w:rFonts w:hint="eastAsia" w:ascii="宋体" w:hAnsi="宋体" w:cs="Arial"/>
          <w:sz w:val="24"/>
        </w:rPr>
        <w:t>递交投标文件（含补充、修改文件），或者撤回已提交的投标文件（含补充、修改文件）；</w:t>
      </w:r>
    </w:p>
    <w:p>
      <w:pPr>
        <w:numPr>
          <w:ilvl w:val="0"/>
          <w:numId w:val="7"/>
        </w:numPr>
        <w:tabs>
          <w:tab w:val="left" w:pos="360"/>
          <w:tab w:val="clear" w:pos="720"/>
        </w:tabs>
        <w:spacing w:line="360" w:lineRule="auto"/>
        <w:ind w:left="0" w:firstLine="540"/>
        <w:rPr>
          <w:rFonts w:ascii="宋体" w:hAnsi="宋体" w:cs="Arial"/>
          <w:sz w:val="24"/>
        </w:rPr>
      </w:pPr>
      <w:r>
        <w:rPr>
          <w:rFonts w:hint="eastAsia" w:ascii="宋体" w:hAnsi="宋体" w:cs="Arial"/>
          <w:sz w:val="24"/>
        </w:rPr>
        <w:t>依法参加投标文件开封仪式、评选</w:t>
      </w:r>
      <w:r>
        <w:rPr>
          <w:rFonts w:ascii="宋体" w:hAnsi="宋体" w:cs="Arial"/>
          <w:sz w:val="24"/>
        </w:rPr>
        <w:t>会议</w:t>
      </w:r>
      <w:r>
        <w:rPr>
          <w:rFonts w:hint="eastAsia" w:ascii="宋体" w:hAnsi="宋体" w:cs="Arial"/>
          <w:sz w:val="24"/>
        </w:rPr>
        <w:t xml:space="preserve">等活动； </w:t>
      </w:r>
    </w:p>
    <w:p>
      <w:pPr>
        <w:numPr>
          <w:ilvl w:val="0"/>
          <w:numId w:val="7"/>
        </w:numPr>
        <w:tabs>
          <w:tab w:val="left" w:pos="360"/>
          <w:tab w:val="clear" w:pos="720"/>
        </w:tabs>
        <w:spacing w:line="360" w:lineRule="auto"/>
        <w:ind w:left="0" w:firstLine="540"/>
        <w:rPr>
          <w:rFonts w:ascii="宋体" w:hAnsi="宋体" w:cs="Arial"/>
          <w:sz w:val="24"/>
        </w:rPr>
      </w:pPr>
      <w:r>
        <w:rPr>
          <w:rFonts w:hint="eastAsia" w:ascii="宋体" w:hAnsi="宋体" w:cs="Arial"/>
          <w:sz w:val="24"/>
        </w:rPr>
        <w:t>对不合理对待提出由委托人确认的质疑函、投诉书；</w:t>
      </w:r>
    </w:p>
    <w:p>
      <w:pPr>
        <w:numPr>
          <w:ilvl w:val="0"/>
          <w:numId w:val="7"/>
        </w:numPr>
        <w:tabs>
          <w:tab w:val="left" w:pos="360"/>
          <w:tab w:val="clear" w:pos="720"/>
        </w:tabs>
        <w:spacing w:line="360" w:lineRule="auto"/>
        <w:ind w:left="0" w:firstLine="540"/>
        <w:rPr>
          <w:rFonts w:ascii="宋体" w:hAnsi="宋体" w:cs="Arial"/>
          <w:sz w:val="24"/>
        </w:rPr>
      </w:pPr>
      <w:r>
        <w:rPr>
          <w:rFonts w:hint="eastAsia" w:ascii="宋体" w:hAnsi="宋体" w:cs="Arial"/>
          <w:sz w:val="24"/>
        </w:rPr>
        <w:t>参加采购合同协商；</w:t>
      </w:r>
    </w:p>
    <w:p>
      <w:pPr>
        <w:numPr>
          <w:ilvl w:val="0"/>
          <w:numId w:val="7"/>
        </w:numPr>
        <w:tabs>
          <w:tab w:val="left" w:pos="360"/>
          <w:tab w:val="clear" w:pos="720"/>
        </w:tabs>
        <w:spacing w:line="360" w:lineRule="auto"/>
        <w:ind w:left="0" w:firstLine="540"/>
        <w:rPr>
          <w:rFonts w:ascii="宋体" w:hAnsi="宋体" w:cs="Arial"/>
          <w:sz w:val="24"/>
        </w:rPr>
      </w:pPr>
      <w:r>
        <w:rPr>
          <w:rFonts w:hint="eastAsia" w:ascii="宋体" w:hAnsi="宋体" w:cs="Arial"/>
          <w:sz w:val="24"/>
        </w:rPr>
        <w:t>办理交货、参加工程验收、提供服务。</w:t>
      </w:r>
    </w:p>
    <w:p>
      <w:pPr>
        <w:spacing w:line="360" w:lineRule="auto"/>
        <w:ind w:firstLine="480" w:firstLineChars="200"/>
        <w:rPr>
          <w:rFonts w:hint="eastAsia" w:ascii="宋体" w:hAnsi="宋体" w:cs="Arial"/>
          <w:sz w:val="24"/>
        </w:rPr>
      </w:pPr>
      <w:r>
        <w:rPr>
          <w:rFonts w:hint="eastAsia" w:ascii="宋体" w:hAnsi="宋体" w:cs="Arial"/>
          <w:sz w:val="24"/>
        </w:rPr>
        <w:t>上列受委托人在上述授权范围和代理权限内，在有关文件上签名委托人予以承认，产生的权利归委托人享有，义务由委托人承担，民事责任由委托人和受委托人共同承担。</w:t>
      </w:r>
    </w:p>
    <w:p>
      <w:pPr>
        <w:spacing w:line="360" w:lineRule="auto"/>
        <w:ind w:firstLine="480" w:firstLineChars="200"/>
        <w:rPr>
          <w:rFonts w:hint="eastAsia" w:ascii="宋体" w:hAnsi="宋体" w:cs="Arial"/>
          <w:sz w:val="24"/>
        </w:rPr>
      </w:pPr>
    </w:p>
    <w:p>
      <w:pPr>
        <w:spacing w:line="360" w:lineRule="auto"/>
        <w:ind w:firstLine="5760" w:firstLineChars="2400"/>
        <w:rPr>
          <w:rFonts w:hint="eastAsia" w:ascii="宋体" w:hAnsi="宋体" w:cs="Arial"/>
          <w:sz w:val="24"/>
        </w:rPr>
      </w:pPr>
      <w:r>
        <w:rPr>
          <w:rFonts w:hint="eastAsia" w:ascii="宋体" w:hAnsi="宋体" w:cs="Arial"/>
          <w:sz w:val="24"/>
        </w:rPr>
        <w:t xml:space="preserve">授权人（单位公章）： </w:t>
      </w:r>
    </w:p>
    <w:p>
      <w:pPr>
        <w:spacing w:line="360" w:lineRule="auto"/>
        <w:ind w:firstLine="5760" w:firstLineChars="2400"/>
        <w:rPr>
          <w:rFonts w:hint="eastAsia" w:ascii="宋体" w:hAnsi="宋体" w:cs="Arial"/>
          <w:sz w:val="24"/>
        </w:rPr>
      </w:pPr>
    </w:p>
    <w:p>
      <w:pPr>
        <w:spacing w:line="360" w:lineRule="auto"/>
        <w:ind w:firstLine="5760" w:firstLineChars="2400"/>
        <w:rPr>
          <w:rFonts w:ascii="宋体" w:hAnsi="宋体" w:cs="Arial"/>
          <w:sz w:val="24"/>
        </w:rPr>
      </w:pPr>
      <w:r>
        <w:rPr>
          <w:rFonts w:hint="eastAsia" w:ascii="宋体" w:hAnsi="宋体" w:cs="Arial"/>
          <w:sz w:val="24"/>
        </w:rPr>
        <w:t>法定代表</w:t>
      </w:r>
      <w:r>
        <w:rPr>
          <w:rFonts w:ascii="宋体" w:hAnsi="宋体" w:cs="Arial"/>
          <w:sz w:val="24"/>
        </w:rPr>
        <w:t>人（</w:t>
      </w:r>
      <w:r>
        <w:rPr>
          <w:rFonts w:hint="eastAsia" w:ascii="宋体" w:hAnsi="宋体" w:cs="Arial"/>
          <w:sz w:val="24"/>
        </w:rPr>
        <w:t>签名</w:t>
      </w:r>
      <w:r>
        <w:rPr>
          <w:rFonts w:ascii="宋体" w:hAnsi="宋体" w:cs="Arial"/>
          <w:sz w:val="24"/>
        </w:rPr>
        <w:t>）：</w:t>
      </w:r>
    </w:p>
    <w:p>
      <w:pPr>
        <w:spacing w:line="360" w:lineRule="auto"/>
        <w:ind w:firstLine="5760" w:firstLineChars="2400"/>
        <w:rPr>
          <w:rFonts w:ascii="宋体" w:hAnsi="宋体" w:cs="Arial"/>
          <w:sz w:val="24"/>
        </w:rPr>
      </w:pPr>
    </w:p>
    <w:p>
      <w:pPr>
        <w:spacing w:line="360" w:lineRule="auto"/>
        <w:ind w:firstLine="5760" w:firstLineChars="2400"/>
        <w:rPr>
          <w:rFonts w:hint="eastAsia" w:ascii="宋体" w:hAnsi="宋体" w:cs="Arial"/>
          <w:sz w:val="24"/>
        </w:rPr>
      </w:pPr>
      <w:r>
        <w:rPr>
          <w:rFonts w:hint="eastAsia" w:ascii="宋体" w:hAnsi="宋体" w:cs="Arial"/>
          <w:sz w:val="24"/>
        </w:rPr>
        <w:t>年    月    日</w:t>
      </w:r>
    </w:p>
    <w:p>
      <w:pPr>
        <w:rPr>
          <w:rFonts w:hint="eastAsia" w:ascii="宋体" w:hAnsi="宋体" w:cs="Arial"/>
          <w:sz w:val="24"/>
        </w:rPr>
      </w:pPr>
      <w:r>
        <w:rPr>
          <w:rFonts w:hint="eastAsia" w:ascii="宋体" w:hAnsi="宋体" w:cs="Arial"/>
          <w:sz w:val="24"/>
        </w:rPr>
        <w:br w:type="page"/>
      </w:r>
    </w:p>
    <w:p>
      <w:pPr>
        <w:spacing w:line="360" w:lineRule="auto"/>
        <w:ind w:firstLine="4800" w:firstLineChars="2000"/>
        <w:rPr>
          <w:rFonts w:hint="eastAsia" w:ascii="宋体" w:hAnsi="宋体" w:cs="Arial"/>
          <w:sz w:val="24"/>
        </w:rPr>
      </w:pPr>
    </w:p>
    <w:p>
      <w:pPr>
        <w:spacing w:line="360" w:lineRule="auto"/>
        <w:jc w:val="center"/>
        <w:rPr>
          <w:rFonts w:hint="eastAsia" w:ascii="宋体" w:hAnsi="宋体"/>
          <w:b/>
          <w:sz w:val="24"/>
          <w:szCs w:val="24"/>
        </w:rPr>
      </w:pPr>
      <w:r>
        <w:rPr>
          <w:rFonts w:ascii="宋体" w:hAnsi="宋体"/>
          <w:b/>
          <w:sz w:val="24"/>
          <w:szCs w:val="24"/>
        </w:rPr>
        <w:t>附件</w:t>
      </w:r>
      <w:r>
        <w:rPr>
          <w:rFonts w:hint="eastAsia" w:ascii="宋体" w:hAnsi="宋体"/>
          <w:b/>
          <w:sz w:val="24"/>
          <w:szCs w:val="24"/>
        </w:rPr>
        <w:t>格式</w:t>
      </w:r>
      <w:r>
        <w:rPr>
          <w:rFonts w:hint="eastAsia" w:ascii="宋体" w:hAnsi="宋体"/>
          <w:b/>
          <w:sz w:val="24"/>
          <w:szCs w:val="24"/>
          <w:lang w:val="en-US" w:eastAsia="zh-CN"/>
        </w:rPr>
        <w:t>3</w:t>
      </w:r>
      <w:r>
        <w:rPr>
          <w:rFonts w:ascii="宋体" w:hAnsi="宋体"/>
          <w:b/>
          <w:sz w:val="24"/>
          <w:szCs w:val="24"/>
        </w:rPr>
        <w:t xml:space="preserve">  </w:t>
      </w:r>
      <w:r>
        <w:rPr>
          <w:rFonts w:hint="eastAsia" w:ascii="宋体" w:hAnsi="宋体"/>
          <w:b/>
          <w:sz w:val="24"/>
          <w:szCs w:val="24"/>
        </w:rPr>
        <w:t>开标</w:t>
      </w:r>
      <w:r>
        <w:rPr>
          <w:rFonts w:ascii="宋体" w:hAnsi="宋体"/>
          <w:b/>
          <w:sz w:val="24"/>
          <w:szCs w:val="24"/>
        </w:rPr>
        <w:t>一览表</w:t>
      </w:r>
    </w:p>
    <w:p>
      <w:pPr>
        <w:spacing w:line="360" w:lineRule="auto"/>
        <w:jc w:val="center"/>
        <w:rPr>
          <w:rFonts w:ascii="宋体" w:hAnsi="宋体"/>
          <w:b/>
          <w:sz w:val="24"/>
          <w:szCs w:val="24"/>
        </w:rPr>
      </w:pPr>
    </w:p>
    <w:p>
      <w:pPr>
        <w:spacing w:line="360" w:lineRule="auto"/>
        <w:ind w:firstLine="480" w:firstLineChars="200"/>
        <w:rPr>
          <w:rFonts w:ascii="宋体" w:hAnsi="宋体"/>
          <w:sz w:val="24"/>
          <w:szCs w:val="24"/>
        </w:rPr>
      </w:pPr>
      <w:r>
        <w:rPr>
          <w:rFonts w:hint="eastAsia" w:ascii="宋体" w:hAnsi="宋体"/>
          <w:sz w:val="24"/>
          <w:szCs w:val="24"/>
        </w:rPr>
        <w:t>项目名称：</w:t>
      </w:r>
      <w:r>
        <w:rPr>
          <w:rFonts w:ascii="宋体" w:hAnsi="宋体"/>
          <w:sz w:val="24"/>
          <w:szCs w:val="24"/>
          <w:highlight w:val="white"/>
        </w:rPr>
        <w:t>广州市统计局2019年</w:t>
      </w:r>
      <w:r>
        <w:rPr>
          <w:rFonts w:hint="eastAsia" w:ascii="宋体" w:hAnsi="宋体"/>
          <w:sz w:val="24"/>
          <w:szCs w:val="24"/>
          <w:highlight w:val="white"/>
        </w:rPr>
        <w:t>度</w:t>
      </w:r>
      <w:r>
        <w:rPr>
          <w:rFonts w:ascii="宋体" w:hAnsi="宋体"/>
          <w:sz w:val="24"/>
          <w:szCs w:val="24"/>
          <w:highlight w:val="white"/>
        </w:rPr>
        <w:t>信息安全管理</w:t>
      </w:r>
      <w:r>
        <w:rPr>
          <w:rFonts w:hint="eastAsia" w:ascii="宋体" w:hAnsi="宋体"/>
          <w:sz w:val="24"/>
          <w:szCs w:val="24"/>
          <w:highlight w:val="white"/>
        </w:rPr>
        <w:t>服务项目</w:t>
      </w:r>
    </w:p>
    <w:p>
      <w:pPr>
        <w:spacing w:line="360" w:lineRule="auto"/>
        <w:ind w:firstLine="480" w:firstLineChars="200"/>
        <w:rPr>
          <w:rFonts w:ascii="宋体" w:hAnsi="宋体"/>
          <w:b/>
          <w:sz w:val="24"/>
          <w:szCs w:val="24"/>
          <w:u w:val="single"/>
        </w:rPr>
      </w:pPr>
      <w:r>
        <w:rPr>
          <w:rFonts w:hint="eastAsia" w:ascii="宋体" w:hAnsi="宋体"/>
          <w:sz w:val="24"/>
          <w:szCs w:val="24"/>
        </w:rPr>
        <w:t xml:space="preserve">投标人名称： </w:t>
      </w:r>
      <w:r>
        <w:rPr>
          <w:rFonts w:hint="eastAsia" w:ascii="宋体" w:hAnsi="宋体"/>
          <w:sz w:val="24"/>
          <w:szCs w:val="24"/>
          <w:u w:val="single"/>
        </w:rPr>
        <w:t xml:space="preserve">                                </w:t>
      </w:r>
    </w:p>
    <w:p>
      <w:pPr>
        <w:widowControl w:val="0"/>
        <w:spacing w:line="360" w:lineRule="auto"/>
        <w:ind w:right="480" w:firstLine="5460" w:firstLineChars="2600"/>
        <w:jc w:val="both"/>
        <w:rPr>
          <w:rFonts w:hint="eastAsia" w:ascii="Arial" w:hAnsi="Arial" w:cs="Arial"/>
          <w:color w:val="000000"/>
          <w:sz w:val="21"/>
          <w:szCs w:val="21"/>
        </w:rPr>
      </w:pPr>
      <w:r>
        <w:rPr>
          <w:rFonts w:hint="eastAsia" w:ascii="Arial" w:hAnsi="Arial" w:eastAsia="宋体" w:cs="Arial"/>
          <w:color w:val="000000"/>
          <w:kern w:val="2"/>
          <w:sz w:val="21"/>
          <w:szCs w:val="21"/>
          <w:lang w:val="en-US" w:eastAsia="zh-CN" w:bidi="ar-SA"/>
        </w:rPr>
        <w:t>（金额单位：元  人民币）</w:t>
      </w:r>
    </w:p>
    <w:tbl>
      <w:tblPr>
        <w:tblStyle w:val="10"/>
        <w:tblpPr w:leftFromText="180" w:rightFromText="180" w:vertAnchor="text" w:horzAnchor="page" w:tblpX="1354" w:tblpY="61"/>
        <w:tblOverlap w:val="never"/>
        <w:tblW w:w="8670" w:type="dxa"/>
        <w:tblInd w:w="0" w:type="dxa"/>
        <w:tblLayout w:type="fixed"/>
        <w:tblCellMar>
          <w:top w:w="0" w:type="dxa"/>
          <w:left w:w="30" w:type="dxa"/>
          <w:bottom w:w="0" w:type="dxa"/>
          <w:right w:w="30" w:type="dxa"/>
        </w:tblCellMar>
      </w:tblPr>
      <w:tblGrid>
        <w:gridCol w:w="804"/>
        <w:gridCol w:w="3546"/>
        <w:gridCol w:w="2700"/>
        <w:gridCol w:w="1620"/>
      </w:tblGrid>
      <w:tr>
        <w:tblPrEx>
          <w:tblLayout w:type="fixed"/>
          <w:tblCellMar>
            <w:top w:w="0" w:type="dxa"/>
            <w:left w:w="30" w:type="dxa"/>
            <w:bottom w:w="0" w:type="dxa"/>
            <w:right w:w="30" w:type="dxa"/>
          </w:tblCellMar>
        </w:tblPrEx>
        <w:trPr>
          <w:trHeight w:val="851" w:hRule="exact"/>
        </w:trPr>
        <w:tc>
          <w:tcPr>
            <w:tcW w:w="8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Arial" w:hAnsi="Arial" w:cs="Arial"/>
                <w:b/>
                <w:bCs/>
                <w:color w:val="000000"/>
                <w:sz w:val="21"/>
                <w:szCs w:val="21"/>
              </w:rPr>
            </w:pPr>
            <w:r>
              <w:rPr>
                <w:rFonts w:ascii="Arial" w:hAnsi="Arial" w:cs="Arial"/>
                <w:b/>
                <w:bCs/>
                <w:color w:val="000000"/>
                <w:sz w:val="21"/>
                <w:szCs w:val="21"/>
              </w:rPr>
              <w:t>序号</w:t>
            </w:r>
          </w:p>
        </w:tc>
        <w:tc>
          <w:tcPr>
            <w:tcW w:w="35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Arial" w:hAnsi="Arial" w:cs="Arial"/>
                <w:b/>
                <w:bCs/>
                <w:color w:val="000000"/>
                <w:sz w:val="21"/>
                <w:szCs w:val="21"/>
              </w:rPr>
            </w:pPr>
            <w:r>
              <w:rPr>
                <w:rFonts w:ascii="Arial" w:hAnsi="Arial" w:cs="Arial"/>
                <w:b/>
                <w:bCs/>
                <w:color w:val="000000"/>
                <w:sz w:val="21"/>
                <w:szCs w:val="21"/>
              </w:rPr>
              <w:t>项目名称</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Arial" w:hAnsi="Arial" w:cs="Arial"/>
                <w:b/>
                <w:bCs/>
                <w:color w:val="000000"/>
                <w:sz w:val="21"/>
                <w:szCs w:val="21"/>
              </w:rPr>
            </w:pPr>
            <w:r>
              <w:rPr>
                <w:rFonts w:hint="eastAsia" w:ascii="Arial" w:hAnsi="Arial" w:cs="Arial"/>
                <w:b/>
                <w:bCs/>
                <w:color w:val="000000"/>
                <w:sz w:val="21"/>
                <w:szCs w:val="21"/>
              </w:rPr>
              <w:t>报价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Arial" w:hAnsi="Arial" w:cs="Arial"/>
                <w:b/>
                <w:bCs/>
                <w:color w:val="000000"/>
                <w:sz w:val="21"/>
                <w:szCs w:val="21"/>
              </w:rPr>
            </w:pPr>
            <w:r>
              <w:rPr>
                <w:rFonts w:ascii="Arial" w:hAnsi="Arial" w:cs="Arial"/>
                <w:b/>
                <w:bCs/>
                <w:color w:val="000000"/>
                <w:sz w:val="21"/>
                <w:szCs w:val="21"/>
              </w:rPr>
              <w:t>备注</w:t>
            </w:r>
          </w:p>
        </w:tc>
      </w:tr>
      <w:tr>
        <w:tblPrEx>
          <w:tblLayout w:type="fixed"/>
          <w:tblCellMar>
            <w:top w:w="0" w:type="dxa"/>
            <w:left w:w="30" w:type="dxa"/>
            <w:bottom w:w="0" w:type="dxa"/>
            <w:right w:w="30" w:type="dxa"/>
          </w:tblCellMar>
        </w:tblPrEx>
        <w:trPr>
          <w:trHeight w:val="851" w:hRule="exact"/>
        </w:trPr>
        <w:tc>
          <w:tcPr>
            <w:tcW w:w="435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Arial" w:hAnsi="Arial" w:cs="Arial"/>
                <w:b w:val="0"/>
                <w:bCs/>
                <w:color w:val="000000"/>
                <w:sz w:val="21"/>
                <w:szCs w:val="21"/>
              </w:rPr>
            </w:pPr>
            <w:r>
              <w:rPr>
                <w:rFonts w:ascii="Arial" w:hAnsi="Arial" w:cs="Arial"/>
                <w:b w:val="0"/>
                <w:bCs/>
                <w:color w:val="000000"/>
                <w:sz w:val="21"/>
                <w:szCs w:val="21"/>
              </w:rPr>
              <w:t>广州市统计局2019年</w:t>
            </w:r>
            <w:r>
              <w:rPr>
                <w:rFonts w:hint="eastAsia" w:ascii="Arial" w:hAnsi="Arial" w:cs="Arial"/>
                <w:b w:val="0"/>
                <w:bCs/>
                <w:color w:val="000000"/>
                <w:sz w:val="21"/>
                <w:szCs w:val="21"/>
              </w:rPr>
              <w:t>度</w:t>
            </w:r>
            <w:r>
              <w:rPr>
                <w:rFonts w:ascii="Arial" w:hAnsi="Arial" w:cs="Arial"/>
                <w:b w:val="0"/>
                <w:bCs/>
                <w:color w:val="000000"/>
                <w:sz w:val="21"/>
                <w:szCs w:val="21"/>
              </w:rPr>
              <w:t>信息</w:t>
            </w:r>
          </w:p>
          <w:p>
            <w:pPr>
              <w:jc w:val="center"/>
              <w:rPr>
                <w:rFonts w:ascii="Arial" w:hAnsi="Arial" w:cs="Arial"/>
                <w:b w:val="0"/>
                <w:bCs/>
                <w:color w:val="000000"/>
                <w:sz w:val="21"/>
                <w:szCs w:val="21"/>
              </w:rPr>
            </w:pPr>
            <w:r>
              <w:rPr>
                <w:rFonts w:ascii="Arial" w:hAnsi="Arial" w:cs="Arial"/>
                <w:b w:val="0"/>
                <w:bCs/>
                <w:color w:val="000000"/>
                <w:sz w:val="21"/>
                <w:szCs w:val="21"/>
              </w:rPr>
              <w:t>安全管理</w:t>
            </w:r>
            <w:r>
              <w:rPr>
                <w:rFonts w:hint="eastAsia" w:ascii="Arial" w:hAnsi="Arial" w:cs="Arial"/>
                <w:b w:val="0"/>
                <w:bCs/>
                <w:color w:val="000000"/>
                <w:sz w:val="21"/>
                <w:szCs w:val="21"/>
              </w:rPr>
              <w:t>服务项目</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Arial" w:hAnsi="Arial" w:cs="Arial"/>
                <w:b w:val="0"/>
                <w:bCs/>
                <w:color w:val="000000"/>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jc w:val="center"/>
              <w:rPr>
                <w:rFonts w:ascii="Arial" w:hAnsi="Arial" w:cs="Arial"/>
                <w:b w:val="0"/>
                <w:bCs/>
                <w:color w:val="000000"/>
                <w:sz w:val="21"/>
                <w:szCs w:val="21"/>
              </w:rPr>
            </w:pPr>
          </w:p>
        </w:tc>
      </w:tr>
      <w:tr>
        <w:tblPrEx>
          <w:tblLayout w:type="fixed"/>
          <w:tblCellMar>
            <w:top w:w="0" w:type="dxa"/>
            <w:left w:w="30" w:type="dxa"/>
            <w:bottom w:w="0" w:type="dxa"/>
            <w:right w:w="30" w:type="dxa"/>
          </w:tblCellMar>
        </w:tblPrEx>
        <w:trPr>
          <w:trHeight w:val="851" w:hRule="exact"/>
        </w:trPr>
        <w:tc>
          <w:tcPr>
            <w:tcW w:w="43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Arial" w:hAnsi="Arial" w:cs="Arial"/>
                <w:b w:val="0"/>
                <w:bCs/>
                <w:color w:val="000000"/>
                <w:sz w:val="21"/>
                <w:szCs w:val="21"/>
              </w:rPr>
            </w:pPr>
            <w:r>
              <w:rPr>
                <w:rFonts w:ascii="Arial" w:hAnsi="Arial" w:cs="Arial"/>
                <w:b w:val="0"/>
                <w:bCs/>
                <w:color w:val="000000"/>
                <w:sz w:val="21"/>
                <w:szCs w:val="21"/>
              </w:rPr>
              <w:t>总价格</w:t>
            </w:r>
            <w:r>
              <w:rPr>
                <w:rFonts w:hint="eastAsia" w:ascii="Arial" w:hAnsi="Arial" w:cs="Arial"/>
                <w:b w:val="0"/>
                <w:bCs/>
                <w:color w:val="000000"/>
                <w:sz w:val="21"/>
                <w:szCs w:val="21"/>
              </w:rPr>
              <w:t>（小写）</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Arial" w:hAnsi="Arial" w:cs="Arial"/>
                <w:b w:val="0"/>
                <w:bCs/>
                <w:color w:val="000000"/>
                <w:sz w:val="21"/>
                <w:szCs w:val="21"/>
              </w:rPr>
            </w:pPr>
          </w:p>
        </w:tc>
        <w:tc>
          <w:tcPr>
            <w:tcW w:w="1620" w:type="dxa"/>
            <w:vMerge w:val="restart"/>
            <w:tcBorders>
              <w:top w:val="single" w:color="auto" w:sz="6" w:space="0"/>
              <w:left w:val="single" w:color="auto" w:sz="6" w:space="0"/>
              <w:right w:val="single" w:color="auto" w:sz="6" w:space="0"/>
            </w:tcBorders>
            <w:noWrap w:val="0"/>
            <w:vAlign w:val="center"/>
          </w:tcPr>
          <w:p>
            <w:pPr>
              <w:jc w:val="center"/>
              <w:rPr>
                <w:rFonts w:ascii="Arial" w:hAnsi="Arial" w:cs="Arial"/>
                <w:b w:val="0"/>
                <w:bCs/>
                <w:color w:val="000000"/>
                <w:sz w:val="21"/>
                <w:szCs w:val="21"/>
              </w:rPr>
            </w:pPr>
            <w:r>
              <w:rPr>
                <w:rFonts w:hint="eastAsia" w:ascii="Arial" w:hAnsi="Arial" w:cs="Arial"/>
                <w:b w:val="0"/>
                <w:bCs/>
                <w:color w:val="000000"/>
                <w:sz w:val="21"/>
                <w:szCs w:val="21"/>
              </w:rPr>
              <w:t>大小写应一致</w:t>
            </w:r>
          </w:p>
        </w:tc>
      </w:tr>
      <w:tr>
        <w:tblPrEx>
          <w:tblLayout w:type="fixed"/>
          <w:tblCellMar>
            <w:top w:w="0" w:type="dxa"/>
            <w:left w:w="30" w:type="dxa"/>
            <w:bottom w:w="0" w:type="dxa"/>
            <w:right w:w="30" w:type="dxa"/>
          </w:tblCellMar>
        </w:tblPrEx>
        <w:trPr>
          <w:trHeight w:val="851" w:hRule="exact"/>
        </w:trPr>
        <w:tc>
          <w:tcPr>
            <w:tcW w:w="43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Arial" w:hAnsi="Arial" w:cs="Arial"/>
                <w:b w:val="0"/>
                <w:bCs/>
                <w:color w:val="000000"/>
                <w:sz w:val="21"/>
                <w:szCs w:val="21"/>
              </w:rPr>
            </w:pPr>
            <w:r>
              <w:rPr>
                <w:rFonts w:ascii="Arial" w:hAnsi="Arial" w:cs="Arial"/>
                <w:b w:val="0"/>
                <w:bCs/>
                <w:color w:val="000000"/>
                <w:sz w:val="21"/>
                <w:szCs w:val="21"/>
              </w:rPr>
              <w:t>总价格</w:t>
            </w:r>
            <w:r>
              <w:rPr>
                <w:rFonts w:hint="eastAsia" w:ascii="Arial" w:hAnsi="Arial" w:cs="Arial"/>
                <w:b w:val="0"/>
                <w:bCs/>
                <w:color w:val="000000"/>
                <w:sz w:val="21"/>
                <w:szCs w:val="21"/>
              </w:rPr>
              <w:t>（</w:t>
            </w:r>
            <w:r>
              <w:rPr>
                <w:rFonts w:ascii="Arial" w:hAnsi="Arial" w:cs="Arial"/>
                <w:b w:val="0"/>
                <w:bCs/>
                <w:color w:val="000000"/>
                <w:sz w:val="21"/>
                <w:szCs w:val="21"/>
              </w:rPr>
              <w:t>大</w:t>
            </w:r>
            <w:r>
              <w:rPr>
                <w:rFonts w:hint="eastAsia" w:ascii="Arial" w:hAnsi="Arial" w:cs="Arial"/>
                <w:b w:val="0"/>
                <w:bCs/>
                <w:color w:val="000000"/>
                <w:sz w:val="21"/>
                <w:szCs w:val="21"/>
              </w:rPr>
              <w:t>写）</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Arial" w:hAnsi="Arial" w:cs="Arial"/>
                <w:b w:val="0"/>
                <w:bCs/>
                <w:color w:val="000000"/>
                <w:sz w:val="21"/>
                <w:szCs w:val="21"/>
              </w:rPr>
            </w:pPr>
          </w:p>
        </w:tc>
        <w:tc>
          <w:tcPr>
            <w:tcW w:w="1620" w:type="dxa"/>
            <w:vMerge w:val="continue"/>
            <w:tcBorders>
              <w:left w:val="single" w:color="auto" w:sz="6" w:space="0"/>
              <w:bottom w:val="single" w:color="auto" w:sz="6" w:space="0"/>
              <w:right w:val="single" w:color="auto" w:sz="6" w:space="0"/>
            </w:tcBorders>
            <w:noWrap w:val="0"/>
            <w:vAlign w:val="center"/>
          </w:tcPr>
          <w:p>
            <w:pPr>
              <w:jc w:val="center"/>
              <w:rPr>
                <w:rFonts w:ascii="Arial" w:hAnsi="Arial" w:cs="Arial"/>
                <w:b w:val="0"/>
                <w:bCs/>
                <w:color w:val="000000"/>
                <w:sz w:val="21"/>
                <w:szCs w:val="21"/>
              </w:rPr>
            </w:pPr>
          </w:p>
        </w:tc>
      </w:tr>
    </w:tbl>
    <w:p>
      <w:pPr>
        <w:widowControl w:val="0"/>
        <w:spacing w:line="360" w:lineRule="auto"/>
        <w:ind w:left="480" w:right="480" w:hanging="480" w:hangingChars="200"/>
        <w:jc w:val="center"/>
        <w:rPr>
          <w:rFonts w:ascii="宋体" w:hAnsi="宋体" w:eastAsia="宋体" w:cs="宋体"/>
          <w:b w:val="0"/>
          <w:bCs/>
          <w:kern w:val="0"/>
          <w:sz w:val="24"/>
          <w:szCs w:val="24"/>
          <w:lang w:val="en-US" w:eastAsia="zh-CN" w:bidi="ar-SA"/>
        </w:rPr>
      </w:pPr>
    </w:p>
    <w:p>
      <w:pPr>
        <w:widowControl w:val="0"/>
        <w:spacing w:line="360" w:lineRule="auto"/>
        <w:ind w:left="480" w:leftChars="150" w:right="480" w:firstLine="0" w:firstLineChars="0"/>
        <w:jc w:val="center"/>
        <w:rPr>
          <w:rFonts w:ascii="宋体" w:hAnsi="宋体" w:eastAsia="宋体" w:cs="宋体"/>
          <w:b w:val="0"/>
          <w:bCs/>
          <w:kern w:val="0"/>
          <w:sz w:val="24"/>
          <w:szCs w:val="24"/>
          <w:lang w:val="en-US" w:eastAsia="zh-CN" w:bidi="ar-SA"/>
        </w:rPr>
      </w:pPr>
    </w:p>
    <w:p>
      <w:pPr>
        <w:widowControl w:val="0"/>
        <w:spacing w:line="360" w:lineRule="auto"/>
        <w:ind w:left="480" w:leftChars="150" w:right="480" w:firstLine="0" w:firstLineChars="0"/>
        <w:jc w:val="both"/>
        <w:rPr>
          <w:rFonts w:ascii="宋体" w:hAnsi="宋体" w:eastAsia="宋体" w:cs="宋体"/>
          <w:b w:val="0"/>
          <w:bCs/>
          <w:kern w:val="0"/>
          <w:sz w:val="24"/>
          <w:szCs w:val="24"/>
          <w:lang w:val="en-US" w:eastAsia="zh-CN" w:bidi="ar-SA"/>
        </w:rPr>
      </w:pPr>
    </w:p>
    <w:p>
      <w:pPr>
        <w:widowControl w:val="0"/>
        <w:spacing w:line="360" w:lineRule="auto"/>
        <w:ind w:left="480" w:leftChars="150" w:right="480" w:firstLine="0" w:firstLineChars="0"/>
        <w:jc w:val="both"/>
        <w:rPr>
          <w:rFonts w:ascii="宋体" w:hAnsi="宋体" w:eastAsia="宋体" w:cs="宋体"/>
          <w:b w:val="0"/>
          <w:bCs/>
          <w:kern w:val="0"/>
          <w:sz w:val="24"/>
          <w:szCs w:val="24"/>
          <w:lang w:val="en-US" w:eastAsia="zh-CN" w:bidi="ar-SA"/>
        </w:rPr>
      </w:pPr>
    </w:p>
    <w:p>
      <w:pPr>
        <w:widowControl w:val="0"/>
        <w:spacing w:line="360" w:lineRule="auto"/>
        <w:ind w:left="480" w:leftChars="150" w:right="480" w:firstLine="0" w:firstLineChars="0"/>
        <w:jc w:val="both"/>
        <w:rPr>
          <w:rFonts w:ascii="宋体" w:hAnsi="宋体" w:eastAsia="宋体" w:cs="宋体"/>
          <w:b w:val="0"/>
          <w:bCs/>
          <w:kern w:val="0"/>
          <w:sz w:val="24"/>
          <w:szCs w:val="24"/>
          <w:lang w:val="en-US" w:eastAsia="zh-CN" w:bidi="ar-SA"/>
        </w:rPr>
      </w:pPr>
    </w:p>
    <w:p>
      <w:pPr>
        <w:widowControl w:val="0"/>
        <w:spacing w:line="360" w:lineRule="auto"/>
        <w:ind w:left="480" w:leftChars="150" w:right="480" w:firstLine="0" w:firstLineChars="0"/>
        <w:jc w:val="both"/>
        <w:rPr>
          <w:rFonts w:ascii="宋体" w:hAnsi="宋体" w:eastAsia="宋体" w:cs="宋体"/>
          <w:b w:val="0"/>
          <w:bCs/>
          <w:kern w:val="0"/>
          <w:sz w:val="24"/>
          <w:szCs w:val="24"/>
          <w:lang w:val="en-US" w:eastAsia="zh-CN" w:bidi="ar-SA"/>
        </w:rPr>
      </w:pPr>
    </w:p>
    <w:p>
      <w:pPr>
        <w:widowControl w:val="0"/>
        <w:spacing w:line="360" w:lineRule="auto"/>
        <w:ind w:left="480" w:leftChars="150" w:right="480" w:firstLine="0" w:firstLineChars="0"/>
        <w:jc w:val="both"/>
        <w:rPr>
          <w:rFonts w:ascii="宋体" w:hAnsi="宋体" w:eastAsia="宋体" w:cs="宋体"/>
          <w:b w:val="0"/>
          <w:bCs/>
          <w:kern w:val="0"/>
          <w:sz w:val="24"/>
          <w:szCs w:val="24"/>
          <w:lang w:val="en-US" w:eastAsia="zh-CN" w:bidi="ar-SA"/>
        </w:rPr>
      </w:pPr>
    </w:p>
    <w:p>
      <w:pPr>
        <w:widowControl w:val="0"/>
        <w:spacing w:line="360" w:lineRule="auto"/>
        <w:ind w:left="480" w:leftChars="150" w:right="480" w:firstLine="0" w:firstLineChars="0"/>
        <w:jc w:val="both"/>
        <w:rPr>
          <w:rFonts w:ascii="宋体" w:hAnsi="宋体" w:eastAsia="宋体" w:cs="宋体"/>
          <w:b w:val="0"/>
          <w:bCs/>
          <w:kern w:val="0"/>
          <w:sz w:val="24"/>
          <w:szCs w:val="24"/>
          <w:lang w:val="en-US" w:eastAsia="zh-CN" w:bidi="ar-SA"/>
        </w:rPr>
      </w:pPr>
    </w:p>
    <w:p>
      <w:pPr>
        <w:widowControl w:val="0"/>
        <w:spacing w:line="360" w:lineRule="auto"/>
        <w:ind w:left="480" w:leftChars="150" w:right="480" w:firstLine="0" w:firstLineChars="0"/>
        <w:jc w:val="both"/>
        <w:rPr>
          <w:rFonts w:hint="eastAsia" w:ascii="宋体" w:hAnsi="宋体" w:eastAsia="宋体" w:cs="Times New Roman"/>
          <w:kern w:val="2"/>
          <w:sz w:val="24"/>
          <w:szCs w:val="24"/>
          <w:lang w:val="en-US" w:eastAsia="zh-CN" w:bidi="ar-SA"/>
        </w:rPr>
      </w:pPr>
      <w:r>
        <w:rPr>
          <w:rFonts w:ascii="宋体" w:hAnsi="宋体" w:eastAsia="宋体" w:cs="宋体"/>
          <w:kern w:val="0"/>
          <w:sz w:val="24"/>
          <w:szCs w:val="24"/>
          <w:lang w:val="en-US" w:eastAsia="zh-CN" w:bidi="ar-SA"/>
        </w:rPr>
        <w:t>投标人名称：（公章）</w:t>
      </w:r>
      <w:r>
        <w:rPr>
          <w:rFonts w:ascii="宋体" w:hAnsi="宋体" w:eastAsia="宋体" w:cs="宋体"/>
          <w:kern w:val="0"/>
          <w:sz w:val="24"/>
          <w:szCs w:val="24"/>
          <w:lang w:val="en-US" w:eastAsia="zh-CN" w:bidi="ar-SA"/>
        </w:rPr>
        <w:tab/>
      </w:r>
      <w:r>
        <w:rPr>
          <w:rFonts w:ascii="宋体" w:hAnsi="宋体" w:eastAsia="宋体" w:cs="宋体"/>
          <w:kern w:val="0"/>
          <w:sz w:val="24"/>
          <w:szCs w:val="24"/>
          <w:lang w:val="en-US" w:eastAsia="zh-CN" w:bidi="ar-SA"/>
        </w:rPr>
        <w:tab/>
      </w:r>
      <w:r>
        <w:rPr>
          <w:rFonts w:ascii="宋体" w:hAnsi="宋体" w:eastAsia="宋体" w:cs="宋体"/>
          <w:kern w:val="0"/>
          <w:sz w:val="24"/>
          <w:szCs w:val="24"/>
          <w:lang w:val="en-US" w:eastAsia="zh-CN" w:bidi="ar-SA"/>
        </w:rPr>
        <w:tab/>
      </w:r>
      <w:r>
        <w:rPr>
          <w:rFonts w:ascii="宋体" w:hAnsi="宋体" w:eastAsia="宋体" w:cs="宋体"/>
          <w:kern w:val="0"/>
          <w:sz w:val="24"/>
          <w:szCs w:val="24"/>
          <w:lang w:val="en-US" w:eastAsia="zh-CN" w:bidi="ar-SA"/>
        </w:rPr>
        <w:tab/>
      </w:r>
      <w:r>
        <w:rPr>
          <w:rFonts w:ascii="宋体" w:hAnsi="宋体" w:eastAsia="宋体" w:cs="宋体"/>
          <w:kern w:val="0"/>
          <w:sz w:val="24"/>
          <w:szCs w:val="24"/>
          <w:lang w:val="en-US" w:eastAsia="zh-CN" w:bidi="ar-SA"/>
        </w:rPr>
        <w:tab/>
      </w:r>
      <w:r>
        <w:rPr>
          <w:rFonts w:ascii="宋体" w:hAnsi="宋体" w:eastAsia="宋体" w:cs="宋体"/>
          <w:kern w:val="0"/>
          <w:sz w:val="24"/>
          <w:szCs w:val="24"/>
          <w:lang w:val="en-US" w:eastAsia="zh-CN" w:bidi="ar-SA"/>
        </w:rPr>
        <w:tab/>
      </w:r>
      <w:r>
        <w:rPr>
          <w:rFonts w:ascii="宋体" w:hAnsi="宋体" w:eastAsia="宋体" w:cs="宋体"/>
          <w:kern w:val="0"/>
          <w:sz w:val="24"/>
          <w:szCs w:val="24"/>
          <w:lang w:val="en-US" w:eastAsia="zh-CN" w:bidi="ar-SA"/>
        </w:rPr>
        <w:t>日期：</w:t>
      </w:r>
    </w:p>
    <w:p>
      <w:pPr>
        <w:spacing w:line="360" w:lineRule="auto"/>
        <w:jc w:val="center"/>
        <w:rPr>
          <w:rFonts w:hint="eastAsia" w:ascii="宋体" w:hAnsi="宋体"/>
          <w:b/>
          <w:sz w:val="24"/>
        </w:rPr>
      </w:pPr>
    </w:p>
    <w:p>
      <w:pPr>
        <w:spacing w:line="360" w:lineRule="auto"/>
        <w:jc w:val="center"/>
        <w:rPr>
          <w:rFonts w:hint="eastAsia" w:ascii="宋体" w:hAnsi="宋体"/>
          <w:b/>
          <w:sz w:val="24"/>
        </w:rPr>
      </w:pPr>
    </w:p>
    <w:p>
      <w:pPr>
        <w:spacing w:line="360" w:lineRule="auto"/>
        <w:jc w:val="center"/>
        <w:rPr>
          <w:rFonts w:ascii="宋体" w:hAnsi="宋体" w:cs="Arial"/>
          <w:b/>
          <w:bCs/>
          <w:sz w:val="24"/>
        </w:rPr>
      </w:pPr>
      <w:r>
        <w:rPr>
          <w:rFonts w:ascii="宋体" w:hAnsi="宋体" w:cs="Arial"/>
          <w:b/>
          <w:bCs/>
          <w:sz w:val="24"/>
        </w:rPr>
        <w:t>附件</w:t>
      </w:r>
      <w:r>
        <w:rPr>
          <w:rFonts w:hint="eastAsia" w:ascii="宋体" w:hAnsi="宋体" w:cs="Arial"/>
          <w:b/>
          <w:bCs/>
          <w:sz w:val="24"/>
        </w:rPr>
        <w:t>格式</w:t>
      </w:r>
      <w:r>
        <w:rPr>
          <w:rFonts w:hint="eastAsia" w:ascii="宋体" w:hAnsi="宋体" w:cs="Arial"/>
          <w:b/>
          <w:bCs/>
          <w:sz w:val="24"/>
          <w:lang w:val="en-US" w:eastAsia="zh-CN"/>
        </w:rPr>
        <w:t>4</w:t>
      </w:r>
      <w:r>
        <w:rPr>
          <w:rFonts w:ascii="宋体" w:hAnsi="宋体" w:cs="Arial"/>
          <w:b/>
          <w:bCs/>
          <w:sz w:val="24"/>
        </w:rPr>
        <w:t xml:space="preserve">  </w:t>
      </w:r>
      <w:r>
        <w:rPr>
          <w:rFonts w:hint="eastAsia" w:ascii="宋体" w:hAnsi="宋体" w:cs="Arial"/>
          <w:b/>
          <w:bCs/>
          <w:sz w:val="24"/>
        </w:rPr>
        <w:t>近三年承担的同类</w:t>
      </w:r>
      <w:r>
        <w:rPr>
          <w:rFonts w:ascii="宋体" w:hAnsi="宋体" w:cs="Arial"/>
          <w:b/>
          <w:bCs/>
          <w:sz w:val="24"/>
        </w:rPr>
        <w:t>项目一览表</w:t>
      </w:r>
    </w:p>
    <w:p>
      <w:pPr>
        <w:spacing w:line="360" w:lineRule="auto"/>
        <w:rPr>
          <w:rFonts w:ascii="宋体" w:hAnsi="宋体" w:cs="Arial"/>
          <w:b/>
          <w:sz w:val="24"/>
        </w:rPr>
      </w:pPr>
    </w:p>
    <w:tbl>
      <w:tblPr>
        <w:tblStyle w:val="10"/>
        <w:tblpPr w:leftFromText="180" w:rightFromText="180" w:vertAnchor="text" w:horzAnchor="page" w:tblpX="1741"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504"/>
        <w:gridCol w:w="1589"/>
        <w:gridCol w:w="1503"/>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noWrap w:val="0"/>
            <w:vAlign w:val="center"/>
          </w:tcPr>
          <w:p>
            <w:pPr>
              <w:spacing w:line="360" w:lineRule="auto"/>
              <w:jc w:val="center"/>
              <w:rPr>
                <w:rFonts w:ascii="宋体" w:hAnsi="宋体" w:cs="Arial"/>
                <w:b/>
                <w:bCs/>
                <w:sz w:val="24"/>
              </w:rPr>
            </w:pPr>
            <w:r>
              <w:rPr>
                <w:rFonts w:ascii="宋体" w:hAnsi="宋体" w:cs="Arial"/>
                <w:b/>
                <w:bCs/>
                <w:sz w:val="24"/>
              </w:rPr>
              <w:t>序号</w:t>
            </w:r>
          </w:p>
        </w:tc>
        <w:tc>
          <w:tcPr>
            <w:tcW w:w="1504" w:type="dxa"/>
            <w:noWrap w:val="0"/>
            <w:vAlign w:val="center"/>
          </w:tcPr>
          <w:p>
            <w:pPr>
              <w:spacing w:line="360" w:lineRule="auto"/>
              <w:jc w:val="center"/>
              <w:rPr>
                <w:rFonts w:ascii="宋体" w:hAnsi="宋体" w:cs="Arial"/>
                <w:b/>
                <w:bCs/>
                <w:sz w:val="24"/>
              </w:rPr>
            </w:pPr>
            <w:r>
              <w:rPr>
                <w:rFonts w:ascii="宋体" w:hAnsi="宋体" w:cs="Arial"/>
                <w:b/>
                <w:bCs/>
                <w:sz w:val="24"/>
              </w:rPr>
              <w:t>项目名称</w:t>
            </w:r>
          </w:p>
        </w:tc>
        <w:tc>
          <w:tcPr>
            <w:tcW w:w="1589" w:type="dxa"/>
            <w:noWrap w:val="0"/>
            <w:vAlign w:val="center"/>
          </w:tcPr>
          <w:p>
            <w:pPr>
              <w:spacing w:line="360" w:lineRule="auto"/>
              <w:jc w:val="center"/>
              <w:rPr>
                <w:rFonts w:ascii="宋体" w:hAnsi="宋体" w:cs="Arial"/>
                <w:b/>
                <w:bCs/>
                <w:sz w:val="24"/>
              </w:rPr>
            </w:pPr>
            <w:r>
              <w:rPr>
                <w:rFonts w:hint="eastAsia" w:ascii="宋体" w:hAnsi="宋体" w:cs="Arial"/>
                <w:b/>
                <w:bCs/>
                <w:sz w:val="24"/>
              </w:rPr>
              <w:t>合同价</w:t>
            </w:r>
          </w:p>
        </w:tc>
        <w:tc>
          <w:tcPr>
            <w:tcW w:w="1503" w:type="dxa"/>
            <w:noWrap w:val="0"/>
            <w:vAlign w:val="center"/>
          </w:tcPr>
          <w:p>
            <w:pPr>
              <w:spacing w:line="360" w:lineRule="auto"/>
              <w:jc w:val="center"/>
              <w:rPr>
                <w:rFonts w:ascii="宋体" w:hAnsi="宋体" w:cs="Arial"/>
                <w:b/>
                <w:bCs/>
                <w:sz w:val="24"/>
              </w:rPr>
            </w:pPr>
            <w:r>
              <w:rPr>
                <w:rFonts w:ascii="宋体" w:hAnsi="宋体" w:cs="Arial"/>
                <w:b/>
                <w:bCs/>
                <w:sz w:val="24"/>
              </w:rPr>
              <w:t>完成</w:t>
            </w:r>
            <w:r>
              <w:rPr>
                <w:rFonts w:hint="eastAsia" w:ascii="宋体" w:hAnsi="宋体" w:cs="Arial"/>
                <w:b/>
                <w:bCs/>
                <w:sz w:val="24"/>
              </w:rPr>
              <w:t>情况</w:t>
            </w:r>
          </w:p>
        </w:tc>
        <w:tc>
          <w:tcPr>
            <w:tcW w:w="3037" w:type="dxa"/>
            <w:noWrap w:val="0"/>
            <w:vAlign w:val="center"/>
          </w:tcPr>
          <w:p>
            <w:pPr>
              <w:spacing w:line="360" w:lineRule="auto"/>
              <w:jc w:val="center"/>
              <w:rPr>
                <w:rFonts w:ascii="宋体" w:hAnsi="宋体" w:cs="Arial"/>
                <w:b/>
                <w:bCs/>
                <w:sz w:val="24"/>
              </w:rPr>
            </w:pPr>
            <w:r>
              <w:rPr>
                <w:rFonts w:ascii="宋体" w:hAnsi="宋体" w:cs="Arial"/>
                <w:b/>
                <w:bCs/>
                <w:sz w:val="24"/>
              </w:rPr>
              <w:t>项目单位联系人电话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noWrap w:val="0"/>
            <w:vAlign w:val="top"/>
          </w:tcPr>
          <w:p>
            <w:pPr>
              <w:spacing w:line="360" w:lineRule="auto"/>
              <w:rPr>
                <w:rFonts w:ascii="宋体" w:hAnsi="宋体" w:cs="Arial"/>
                <w:sz w:val="24"/>
              </w:rPr>
            </w:pPr>
          </w:p>
        </w:tc>
        <w:tc>
          <w:tcPr>
            <w:tcW w:w="1504" w:type="dxa"/>
            <w:noWrap w:val="0"/>
            <w:vAlign w:val="top"/>
          </w:tcPr>
          <w:p>
            <w:pPr>
              <w:spacing w:line="360" w:lineRule="auto"/>
              <w:rPr>
                <w:rFonts w:ascii="宋体" w:hAnsi="宋体" w:cs="Arial"/>
                <w:sz w:val="24"/>
              </w:rPr>
            </w:pPr>
          </w:p>
        </w:tc>
        <w:tc>
          <w:tcPr>
            <w:tcW w:w="1589" w:type="dxa"/>
            <w:noWrap w:val="0"/>
            <w:vAlign w:val="top"/>
          </w:tcPr>
          <w:p>
            <w:pPr>
              <w:spacing w:line="360" w:lineRule="auto"/>
              <w:rPr>
                <w:rFonts w:ascii="宋体" w:hAnsi="宋体" w:cs="Arial"/>
                <w:sz w:val="24"/>
              </w:rPr>
            </w:pPr>
          </w:p>
        </w:tc>
        <w:tc>
          <w:tcPr>
            <w:tcW w:w="1503" w:type="dxa"/>
            <w:noWrap w:val="0"/>
            <w:vAlign w:val="top"/>
          </w:tcPr>
          <w:p>
            <w:pPr>
              <w:spacing w:line="360" w:lineRule="auto"/>
              <w:rPr>
                <w:rFonts w:ascii="宋体" w:hAnsi="宋体" w:cs="Arial"/>
                <w:sz w:val="24"/>
              </w:rPr>
            </w:pPr>
          </w:p>
        </w:tc>
        <w:tc>
          <w:tcPr>
            <w:tcW w:w="3037" w:type="dxa"/>
            <w:noWrap w:val="0"/>
            <w:vAlign w:val="top"/>
          </w:tcPr>
          <w:p>
            <w:pPr>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noWrap w:val="0"/>
            <w:vAlign w:val="top"/>
          </w:tcPr>
          <w:p>
            <w:pPr>
              <w:spacing w:line="360" w:lineRule="auto"/>
              <w:rPr>
                <w:rFonts w:ascii="宋体" w:hAnsi="宋体" w:cs="Arial"/>
                <w:sz w:val="24"/>
              </w:rPr>
            </w:pPr>
          </w:p>
        </w:tc>
        <w:tc>
          <w:tcPr>
            <w:tcW w:w="1504" w:type="dxa"/>
            <w:noWrap w:val="0"/>
            <w:vAlign w:val="top"/>
          </w:tcPr>
          <w:p>
            <w:pPr>
              <w:spacing w:line="360" w:lineRule="auto"/>
              <w:rPr>
                <w:rFonts w:ascii="宋体" w:hAnsi="宋体" w:cs="Arial"/>
                <w:sz w:val="24"/>
              </w:rPr>
            </w:pPr>
          </w:p>
        </w:tc>
        <w:tc>
          <w:tcPr>
            <w:tcW w:w="1589" w:type="dxa"/>
            <w:noWrap w:val="0"/>
            <w:vAlign w:val="top"/>
          </w:tcPr>
          <w:p>
            <w:pPr>
              <w:spacing w:line="360" w:lineRule="auto"/>
              <w:rPr>
                <w:rFonts w:ascii="宋体" w:hAnsi="宋体" w:cs="Arial"/>
                <w:sz w:val="24"/>
              </w:rPr>
            </w:pPr>
          </w:p>
        </w:tc>
        <w:tc>
          <w:tcPr>
            <w:tcW w:w="1503" w:type="dxa"/>
            <w:noWrap w:val="0"/>
            <w:vAlign w:val="top"/>
          </w:tcPr>
          <w:p>
            <w:pPr>
              <w:spacing w:line="360" w:lineRule="auto"/>
              <w:rPr>
                <w:rFonts w:ascii="宋体" w:hAnsi="宋体" w:cs="Arial"/>
                <w:sz w:val="24"/>
              </w:rPr>
            </w:pPr>
          </w:p>
        </w:tc>
        <w:tc>
          <w:tcPr>
            <w:tcW w:w="3037" w:type="dxa"/>
            <w:noWrap w:val="0"/>
            <w:vAlign w:val="top"/>
          </w:tcPr>
          <w:p>
            <w:pPr>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noWrap w:val="0"/>
            <w:vAlign w:val="top"/>
          </w:tcPr>
          <w:p>
            <w:pPr>
              <w:spacing w:line="360" w:lineRule="auto"/>
              <w:rPr>
                <w:rFonts w:ascii="宋体" w:hAnsi="宋体" w:cs="Arial"/>
                <w:sz w:val="24"/>
              </w:rPr>
            </w:pPr>
          </w:p>
        </w:tc>
        <w:tc>
          <w:tcPr>
            <w:tcW w:w="1504" w:type="dxa"/>
            <w:noWrap w:val="0"/>
            <w:vAlign w:val="top"/>
          </w:tcPr>
          <w:p>
            <w:pPr>
              <w:spacing w:line="360" w:lineRule="auto"/>
              <w:rPr>
                <w:rFonts w:ascii="宋体" w:hAnsi="宋体" w:cs="Arial"/>
                <w:sz w:val="24"/>
              </w:rPr>
            </w:pPr>
          </w:p>
        </w:tc>
        <w:tc>
          <w:tcPr>
            <w:tcW w:w="1589" w:type="dxa"/>
            <w:noWrap w:val="0"/>
            <w:vAlign w:val="top"/>
          </w:tcPr>
          <w:p>
            <w:pPr>
              <w:spacing w:line="360" w:lineRule="auto"/>
              <w:rPr>
                <w:rFonts w:ascii="宋体" w:hAnsi="宋体" w:cs="Arial"/>
                <w:sz w:val="24"/>
              </w:rPr>
            </w:pPr>
          </w:p>
        </w:tc>
        <w:tc>
          <w:tcPr>
            <w:tcW w:w="1503" w:type="dxa"/>
            <w:noWrap w:val="0"/>
            <w:vAlign w:val="top"/>
          </w:tcPr>
          <w:p>
            <w:pPr>
              <w:spacing w:line="360" w:lineRule="auto"/>
              <w:rPr>
                <w:rFonts w:ascii="宋体" w:hAnsi="宋体" w:cs="Arial"/>
                <w:sz w:val="24"/>
              </w:rPr>
            </w:pPr>
          </w:p>
        </w:tc>
        <w:tc>
          <w:tcPr>
            <w:tcW w:w="3037" w:type="dxa"/>
            <w:noWrap w:val="0"/>
            <w:vAlign w:val="top"/>
          </w:tcPr>
          <w:p>
            <w:pPr>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noWrap w:val="0"/>
            <w:vAlign w:val="top"/>
          </w:tcPr>
          <w:p>
            <w:pPr>
              <w:spacing w:line="360" w:lineRule="auto"/>
              <w:rPr>
                <w:rFonts w:ascii="宋体" w:hAnsi="宋体" w:cs="Arial"/>
                <w:sz w:val="24"/>
              </w:rPr>
            </w:pPr>
          </w:p>
        </w:tc>
        <w:tc>
          <w:tcPr>
            <w:tcW w:w="1504" w:type="dxa"/>
            <w:noWrap w:val="0"/>
            <w:vAlign w:val="top"/>
          </w:tcPr>
          <w:p>
            <w:pPr>
              <w:spacing w:line="360" w:lineRule="auto"/>
              <w:rPr>
                <w:rFonts w:ascii="宋体" w:hAnsi="宋体" w:cs="Arial"/>
                <w:sz w:val="24"/>
              </w:rPr>
            </w:pPr>
          </w:p>
        </w:tc>
        <w:tc>
          <w:tcPr>
            <w:tcW w:w="1589" w:type="dxa"/>
            <w:noWrap w:val="0"/>
            <w:vAlign w:val="top"/>
          </w:tcPr>
          <w:p>
            <w:pPr>
              <w:spacing w:line="360" w:lineRule="auto"/>
              <w:rPr>
                <w:rFonts w:ascii="宋体" w:hAnsi="宋体" w:cs="Arial"/>
                <w:sz w:val="24"/>
              </w:rPr>
            </w:pPr>
          </w:p>
        </w:tc>
        <w:tc>
          <w:tcPr>
            <w:tcW w:w="1503" w:type="dxa"/>
            <w:noWrap w:val="0"/>
            <w:vAlign w:val="top"/>
          </w:tcPr>
          <w:p>
            <w:pPr>
              <w:spacing w:line="360" w:lineRule="auto"/>
              <w:rPr>
                <w:rFonts w:ascii="宋体" w:hAnsi="宋体" w:cs="Arial"/>
                <w:sz w:val="24"/>
              </w:rPr>
            </w:pPr>
          </w:p>
        </w:tc>
        <w:tc>
          <w:tcPr>
            <w:tcW w:w="3037" w:type="dxa"/>
            <w:noWrap w:val="0"/>
            <w:vAlign w:val="top"/>
          </w:tcPr>
          <w:p>
            <w:pPr>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noWrap w:val="0"/>
            <w:vAlign w:val="top"/>
          </w:tcPr>
          <w:p>
            <w:pPr>
              <w:spacing w:line="360" w:lineRule="auto"/>
              <w:rPr>
                <w:rFonts w:ascii="宋体" w:hAnsi="宋体" w:cs="Arial"/>
                <w:sz w:val="24"/>
              </w:rPr>
            </w:pPr>
          </w:p>
        </w:tc>
        <w:tc>
          <w:tcPr>
            <w:tcW w:w="1504" w:type="dxa"/>
            <w:noWrap w:val="0"/>
            <w:vAlign w:val="top"/>
          </w:tcPr>
          <w:p>
            <w:pPr>
              <w:spacing w:line="360" w:lineRule="auto"/>
              <w:rPr>
                <w:rFonts w:ascii="宋体" w:hAnsi="宋体" w:cs="Arial"/>
                <w:sz w:val="24"/>
              </w:rPr>
            </w:pPr>
          </w:p>
        </w:tc>
        <w:tc>
          <w:tcPr>
            <w:tcW w:w="1589" w:type="dxa"/>
            <w:noWrap w:val="0"/>
            <w:vAlign w:val="top"/>
          </w:tcPr>
          <w:p>
            <w:pPr>
              <w:spacing w:line="360" w:lineRule="auto"/>
              <w:rPr>
                <w:rFonts w:ascii="宋体" w:hAnsi="宋体" w:cs="Arial"/>
                <w:sz w:val="24"/>
              </w:rPr>
            </w:pPr>
          </w:p>
        </w:tc>
        <w:tc>
          <w:tcPr>
            <w:tcW w:w="1503" w:type="dxa"/>
            <w:noWrap w:val="0"/>
            <w:vAlign w:val="top"/>
          </w:tcPr>
          <w:p>
            <w:pPr>
              <w:spacing w:line="360" w:lineRule="auto"/>
              <w:rPr>
                <w:rFonts w:ascii="宋体" w:hAnsi="宋体" w:cs="Arial"/>
                <w:sz w:val="24"/>
              </w:rPr>
            </w:pPr>
          </w:p>
        </w:tc>
        <w:tc>
          <w:tcPr>
            <w:tcW w:w="3037" w:type="dxa"/>
            <w:noWrap w:val="0"/>
            <w:vAlign w:val="top"/>
          </w:tcPr>
          <w:p>
            <w:pPr>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noWrap w:val="0"/>
            <w:vAlign w:val="top"/>
          </w:tcPr>
          <w:p>
            <w:pPr>
              <w:spacing w:line="360" w:lineRule="auto"/>
              <w:rPr>
                <w:rFonts w:ascii="宋体" w:hAnsi="宋体" w:cs="Arial"/>
                <w:sz w:val="24"/>
              </w:rPr>
            </w:pPr>
          </w:p>
        </w:tc>
        <w:tc>
          <w:tcPr>
            <w:tcW w:w="1504" w:type="dxa"/>
            <w:noWrap w:val="0"/>
            <w:vAlign w:val="top"/>
          </w:tcPr>
          <w:p>
            <w:pPr>
              <w:spacing w:line="360" w:lineRule="auto"/>
              <w:rPr>
                <w:rFonts w:ascii="宋体" w:hAnsi="宋体" w:cs="Arial"/>
                <w:sz w:val="24"/>
              </w:rPr>
            </w:pPr>
          </w:p>
        </w:tc>
        <w:tc>
          <w:tcPr>
            <w:tcW w:w="1589" w:type="dxa"/>
            <w:noWrap w:val="0"/>
            <w:vAlign w:val="top"/>
          </w:tcPr>
          <w:p>
            <w:pPr>
              <w:spacing w:line="360" w:lineRule="auto"/>
              <w:rPr>
                <w:rFonts w:ascii="宋体" w:hAnsi="宋体" w:cs="Arial"/>
                <w:sz w:val="24"/>
              </w:rPr>
            </w:pPr>
          </w:p>
        </w:tc>
        <w:tc>
          <w:tcPr>
            <w:tcW w:w="1503" w:type="dxa"/>
            <w:noWrap w:val="0"/>
            <w:vAlign w:val="top"/>
          </w:tcPr>
          <w:p>
            <w:pPr>
              <w:spacing w:line="360" w:lineRule="auto"/>
              <w:rPr>
                <w:rFonts w:ascii="宋体" w:hAnsi="宋体" w:cs="Arial"/>
                <w:sz w:val="24"/>
              </w:rPr>
            </w:pPr>
          </w:p>
        </w:tc>
        <w:tc>
          <w:tcPr>
            <w:tcW w:w="3037" w:type="dxa"/>
            <w:noWrap w:val="0"/>
            <w:vAlign w:val="top"/>
          </w:tcPr>
          <w:p>
            <w:pPr>
              <w:spacing w:line="360" w:lineRule="auto"/>
              <w:rPr>
                <w:rFonts w:ascii="宋体" w:hAnsi="宋体" w:cs="Arial"/>
                <w:sz w:val="24"/>
              </w:rPr>
            </w:pPr>
          </w:p>
        </w:tc>
      </w:tr>
    </w:tbl>
    <w:p>
      <w:pPr>
        <w:spacing w:line="360" w:lineRule="auto"/>
        <w:ind w:firstLine="360" w:firstLineChars="150"/>
        <w:rPr>
          <w:rFonts w:hint="eastAsia" w:ascii="宋体" w:hAnsi="宋体"/>
          <w:sz w:val="24"/>
        </w:rPr>
      </w:pPr>
    </w:p>
    <w:p>
      <w:pPr>
        <w:spacing w:line="360" w:lineRule="auto"/>
        <w:rPr>
          <w:rFonts w:hint="eastAsia" w:ascii="宋体" w:hAnsi="宋体"/>
          <w:sz w:val="24"/>
        </w:rPr>
      </w:pPr>
    </w:p>
    <w:p>
      <w:pPr>
        <w:pStyle w:val="9"/>
        <w:widowControl/>
        <w:spacing w:after="376" w:line="360" w:lineRule="auto"/>
        <w:jc w:val="right"/>
        <w:rPr>
          <w:rFonts w:hint="eastAsia" w:ascii="宋体" w:hAnsi="宋体" w:cs="宋体"/>
          <w:color w:val="333333"/>
          <w:szCs w:val="24"/>
          <w:shd w:val="clear" w:color="auto" w:fill="FFFFFF"/>
        </w:rPr>
      </w:pPr>
    </w:p>
    <w:sectPr>
      <w:pgSz w:w="11906" w:h="16838"/>
      <w:pgMar w:top="1440" w:right="794" w:bottom="1440" w:left="79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tentative="0">
      <w:start w:val="1"/>
      <w:numFmt w:val="decimal"/>
      <w:suff w:val="nothing"/>
      <w:lvlText w:val="%1、"/>
      <w:lvlJc w:val="left"/>
    </w:lvl>
  </w:abstractNum>
  <w:abstractNum w:abstractNumId="1">
    <w:nsid w:val="00000028"/>
    <w:multiLevelType w:val="multilevel"/>
    <w:tmpl w:val="00000028"/>
    <w:lvl w:ilvl="0" w:tentative="0">
      <w:start w:val="1"/>
      <w:numFmt w:val="bullet"/>
      <w:lvlText w:val=""/>
      <w:lvlJc w:val="left"/>
      <w:pPr>
        <w:tabs>
          <w:tab w:val="left" w:pos="840"/>
        </w:tabs>
        <w:ind w:left="84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80D01D1"/>
    <w:multiLevelType w:val="multilevel"/>
    <w:tmpl w:val="080D01D1"/>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0832A5E"/>
    <w:multiLevelType w:val="multilevel"/>
    <w:tmpl w:val="10832A5E"/>
    <w:lvl w:ilvl="0" w:tentative="0">
      <w:start w:val="1"/>
      <w:numFmt w:val="chineseCountingThousand"/>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44D257E"/>
    <w:multiLevelType w:val="multilevel"/>
    <w:tmpl w:val="344D257E"/>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decimalEnclosedCircle"/>
      <w:lvlText w:val="%3"/>
      <w:lvlJc w:val="left"/>
      <w:pPr>
        <w:ind w:left="2160" w:hanging="360"/>
      </w:pPr>
      <w:rPr>
        <w:rFonts w:hint="default"/>
      </w:r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5">
    <w:nsid w:val="4F971D6D"/>
    <w:multiLevelType w:val="multilevel"/>
    <w:tmpl w:val="4F971D6D"/>
    <w:lvl w:ilvl="0" w:tentative="0">
      <w:start w:val="1"/>
      <w:numFmt w:val="decimal"/>
      <w:pStyle w:val="2"/>
      <w:isLgl/>
      <w:lvlText w:val="%1"/>
      <w:lvlJc w:val="left"/>
      <w:pPr>
        <w:tabs>
          <w:tab w:val="left" w:pos="964"/>
        </w:tabs>
        <w:ind w:left="964" w:hanging="964"/>
      </w:pPr>
      <w:rPr>
        <w:rFonts w:hint="eastAsia"/>
      </w:rPr>
    </w:lvl>
    <w:lvl w:ilvl="1" w:tentative="0">
      <w:start w:val="1"/>
      <w:numFmt w:val="decimal"/>
      <w:isLgl/>
      <w:lvlText w:val="%1.%2."/>
      <w:lvlJc w:val="left"/>
      <w:pPr>
        <w:tabs>
          <w:tab w:val="left" w:pos="720"/>
        </w:tabs>
        <w:ind w:left="567" w:hanging="567"/>
      </w:pPr>
      <w:rPr>
        <w:rFonts w:hint="eastAsia"/>
      </w:rPr>
    </w:lvl>
    <w:lvl w:ilvl="2" w:tentative="0">
      <w:start w:val="1"/>
      <w:numFmt w:val="decimal"/>
      <w:isLgl/>
      <w:lvlText w:val="%1.%2.%3."/>
      <w:lvlJc w:val="left"/>
      <w:pPr>
        <w:tabs>
          <w:tab w:val="left" w:pos="1080"/>
        </w:tabs>
        <w:ind w:left="737" w:hanging="737"/>
      </w:pPr>
      <w:rPr>
        <w:rFonts w:hint="eastAsia" w:ascii="宋体" w:eastAsia="宋体"/>
        <w:b w:val="0"/>
        <w:i w:val="0"/>
        <w:sz w:val="28"/>
      </w:rPr>
    </w:lvl>
    <w:lvl w:ilvl="3" w:tentative="0">
      <w:start w:val="1"/>
      <w:numFmt w:val="decimal"/>
      <w:lvlText w:val="%1.%2.%3.%4."/>
      <w:lvlJc w:val="left"/>
      <w:pPr>
        <w:tabs>
          <w:tab w:val="left" w:pos="1080"/>
        </w:tabs>
        <w:ind w:left="851" w:hanging="851"/>
      </w:pPr>
      <w:rPr>
        <w:rFonts w:hint="eastAsia"/>
      </w:rPr>
    </w:lvl>
    <w:lvl w:ilvl="4" w:tentative="0">
      <w:start w:val="1"/>
      <w:numFmt w:val="decimal"/>
      <w:lvlText w:val="%1.%2.%3.%4.%5."/>
      <w:lvlJc w:val="left"/>
      <w:pPr>
        <w:tabs>
          <w:tab w:val="left" w:pos="1440"/>
        </w:tabs>
        <w:ind w:left="1077" w:hanging="1077"/>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619B53A8"/>
    <w:multiLevelType w:val="multilevel"/>
    <w:tmpl w:val="619B53A8"/>
    <w:lvl w:ilvl="0" w:tentative="0">
      <w:start w:val="5"/>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953E2"/>
    <w:rsid w:val="00076626"/>
    <w:rsid w:val="0020453C"/>
    <w:rsid w:val="002B53F2"/>
    <w:rsid w:val="002F6482"/>
    <w:rsid w:val="003A3050"/>
    <w:rsid w:val="003B2EFE"/>
    <w:rsid w:val="003E49C6"/>
    <w:rsid w:val="0055047B"/>
    <w:rsid w:val="00592748"/>
    <w:rsid w:val="00701C85"/>
    <w:rsid w:val="0070348D"/>
    <w:rsid w:val="007827BC"/>
    <w:rsid w:val="007F3D7E"/>
    <w:rsid w:val="00810903"/>
    <w:rsid w:val="009152DE"/>
    <w:rsid w:val="009607C6"/>
    <w:rsid w:val="00B03C10"/>
    <w:rsid w:val="00BE57BC"/>
    <w:rsid w:val="00FA4488"/>
    <w:rsid w:val="13243168"/>
    <w:rsid w:val="14B62FBD"/>
    <w:rsid w:val="231B0A37"/>
    <w:rsid w:val="25304737"/>
    <w:rsid w:val="253C5E3B"/>
    <w:rsid w:val="261D11DA"/>
    <w:rsid w:val="2D624541"/>
    <w:rsid w:val="37076F93"/>
    <w:rsid w:val="3A6C4EE2"/>
    <w:rsid w:val="474953E2"/>
    <w:rsid w:val="50A05E66"/>
    <w:rsid w:val="565E56B5"/>
    <w:rsid w:val="69131723"/>
    <w:rsid w:val="716450BA"/>
    <w:rsid w:val="74385D0C"/>
    <w:rsid w:val="7CC41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paragraph" w:styleId="2">
    <w:name w:val="heading 1"/>
    <w:basedOn w:val="1"/>
    <w:next w:val="1"/>
    <w:qFormat/>
    <w:uiPriority w:val="0"/>
    <w:pPr>
      <w:keepNext/>
      <w:keepLines/>
      <w:numPr>
        <w:ilvl w:val="0"/>
        <w:numId w:val="1"/>
      </w:numPr>
      <w:spacing w:before="156" w:beforeLines="50" w:after="156" w:afterLines="50" w:line="360" w:lineRule="auto"/>
      <w:outlineLvl w:val="0"/>
    </w:pPr>
    <w:rPr>
      <w:b/>
      <w:kern w:val="11"/>
      <w:sz w:val="32"/>
      <w:szCs w:val="20"/>
    </w:rPr>
  </w:style>
  <w:style w:type="paragraph" w:styleId="3">
    <w:name w:val="heading 4"/>
    <w:basedOn w:val="1"/>
    <w:next w:val="1"/>
    <w:unhideWhenUsed/>
    <w:qFormat/>
    <w:uiPriority w:val="0"/>
    <w:pPr>
      <w:jc w:val="left"/>
      <w:outlineLvl w:val="3"/>
    </w:pPr>
    <w:rPr>
      <w:rFonts w:hint="eastAsia" w:ascii="宋体" w:hAnsi="宋体"/>
      <w:b/>
      <w:kern w:val="0"/>
      <w:sz w:val="24"/>
      <w:szCs w:val="24"/>
    </w:rPr>
  </w:style>
  <w:style w:type="paragraph" w:styleId="4">
    <w:name w:val="heading 6"/>
    <w:basedOn w:val="1"/>
    <w:next w:val="1"/>
    <w:unhideWhenUsed/>
    <w:qFormat/>
    <w:uiPriority w:val="0"/>
    <w:pPr>
      <w:jc w:val="left"/>
      <w:outlineLvl w:val="5"/>
    </w:pPr>
    <w:rPr>
      <w:rFonts w:hint="eastAsia" w:ascii="宋体" w:hAnsi="宋体"/>
      <w:b/>
      <w:kern w:val="0"/>
      <w:sz w:val="15"/>
      <w:szCs w:val="15"/>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qFormat/>
    <w:uiPriority w:val="0"/>
    <w:rPr>
      <w:rFonts w:ascii="宋体" w:hAnsi="Courier New"/>
      <w:szCs w:val="20"/>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spacing w:after="120" w:line="480" w:lineRule="auto"/>
    </w:pPr>
  </w:style>
  <w:style w:type="paragraph" w:styleId="9">
    <w:name w:val="Normal (Web)"/>
    <w:basedOn w:val="1"/>
    <w:qFormat/>
    <w:uiPriority w:val="0"/>
    <w:pPr>
      <w:jc w:val="left"/>
    </w:pPr>
    <w:rPr>
      <w:kern w:val="0"/>
      <w:sz w:val="24"/>
    </w:rPr>
  </w:style>
  <w:style w:type="character" w:styleId="12">
    <w:name w:val="Strong"/>
    <w:basedOn w:val="11"/>
    <w:qFormat/>
    <w:uiPriority w:val="0"/>
    <w:rPr>
      <w:b/>
    </w:rPr>
  </w:style>
  <w:style w:type="character" w:styleId="13">
    <w:name w:val="FollowedHyperlink"/>
    <w:basedOn w:val="11"/>
    <w:qFormat/>
    <w:uiPriority w:val="0"/>
    <w:rPr>
      <w:color w:val="800080"/>
      <w:u w:val="none"/>
    </w:rPr>
  </w:style>
  <w:style w:type="character" w:styleId="14">
    <w:name w:val="Emphasis"/>
    <w:basedOn w:val="11"/>
    <w:qFormat/>
    <w:uiPriority w:val="0"/>
  </w:style>
  <w:style w:type="character" w:styleId="15">
    <w:name w:val="Hyperlink"/>
    <w:basedOn w:val="11"/>
    <w:qFormat/>
    <w:uiPriority w:val="0"/>
    <w:rPr>
      <w:color w:val="0000FF"/>
      <w:u w:val="none"/>
    </w:rPr>
  </w:style>
  <w:style w:type="character" w:customStyle="1" w:styleId="16">
    <w:name w:val="页眉 Char"/>
    <w:basedOn w:val="11"/>
    <w:link w:val="7"/>
    <w:qFormat/>
    <w:uiPriority w:val="0"/>
    <w:rPr>
      <w:rFonts w:ascii="Calibri" w:hAnsi="Calibri"/>
      <w:kern w:val="2"/>
      <w:sz w:val="18"/>
      <w:szCs w:val="18"/>
    </w:rPr>
  </w:style>
  <w:style w:type="character" w:customStyle="1" w:styleId="17">
    <w:name w:val="页脚 Char"/>
    <w:basedOn w:val="11"/>
    <w:link w:val="6"/>
    <w:qFormat/>
    <w:uiPriority w:val="0"/>
    <w:rPr>
      <w:rFonts w:ascii="Calibri" w:hAnsi="Calibri"/>
      <w:kern w:val="2"/>
      <w:sz w:val="18"/>
      <w:szCs w:val="18"/>
    </w:rPr>
  </w:style>
  <w:style w:type="paragraph" w:customStyle="1" w:styleId="18">
    <w:name w:val="p0"/>
    <w:basedOn w:val="1"/>
    <w:qFormat/>
    <w:uiPriority w:val="0"/>
    <w:pPr>
      <w:widowControl/>
    </w:pPr>
    <w:rPr>
      <w:kern w:val="0"/>
      <w:szCs w:val="21"/>
    </w:rPr>
  </w:style>
  <w:style w:type="character" w:customStyle="1" w:styleId="19">
    <w:name w:val="p141"/>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149</Words>
  <Characters>850</Characters>
  <Lines>7</Lines>
  <Paragraphs>1</Paragraphs>
  <TotalTime>17</TotalTime>
  <ScaleCrop>false</ScaleCrop>
  <LinksUpToDate>false</LinksUpToDate>
  <CharactersWithSpaces>998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2018-05-29T08:08:00Z</dcterms:created>
  <dc:creator>ST100642</dc:creator>
  <cp:lastModifiedBy>曾大治</cp:lastModifiedBy>
  <cp:lastPrinted>2019-10-23T08:20:00Z</cp:lastPrinted>
  <dcterms:modified xsi:type="dcterms:W3CDTF">2019-10-23T09:43:36Z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