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广州市第四次全国经济普查公报解读四</w:t>
      </w:r>
    </w:p>
    <w:p>
      <w:pPr>
        <w:pStyle w:val="2"/>
        <w:ind w:firstLine="0"/>
        <w:rPr>
          <w:rFonts w:ascii="Times New Roman" w:hAnsi="Times New Roman" w:eastAsia="楷体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建筑业发展驶入快车道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第四次全国经济普查对我市</w:t>
      </w:r>
      <w:r>
        <w:rPr>
          <w:rFonts w:ascii="Times New Roman" w:hAnsi="Times New Roman" w:eastAsia="仿宋_GB2312"/>
          <w:kern w:val="0"/>
          <w:sz w:val="32"/>
          <w:szCs w:val="32"/>
        </w:rPr>
        <w:t>27400</w:t>
      </w:r>
      <w:r>
        <w:rPr>
          <w:rFonts w:ascii="Times New Roman" w:eastAsia="仿宋_GB2312"/>
          <w:kern w:val="0"/>
          <w:sz w:val="32"/>
          <w:szCs w:val="32"/>
        </w:rPr>
        <w:t>个建筑业企业的经营状况调查显示，近五年，我市建筑业发展驶入快车道，企业规模呈井喷式增长，资产总量翻倍，建筑队伍和营业收入随之大幅增长。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eastAsia="黑体"/>
          <w:kern w:val="0"/>
          <w:sz w:val="32"/>
          <w:szCs w:val="32"/>
        </w:rPr>
        <w:t>一、企业规模井喷式增长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</w:t>
      </w:r>
      <w:r>
        <w:rPr>
          <w:rFonts w:ascii="Times New Roman" w:eastAsia="仿宋_GB2312"/>
          <w:kern w:val="0"/>
          <w:sz w:val="32"/>
          <w:szCs w:val="32"/>
        </w:rPr>
        <w:t>年末，全市共有建筑业企业法人单位</w:t>
      </w:r>
      <w:r>
        <w:rPr>
          <w:rFonts w:ascii="Times New Roman" w:hAnsi="Times New Roman" w:eastAsia="仿宋_GB2312"/>
          <w:kern w:val="0"/>
          <w:sz w:val="32"/>
          <w:szCs w:val="32"/>
        </w:rPr>
        <w:t>27400</w:t>
      </w:r>
      <w:r>
        <w:rPr>
          <w:rFonts w:ascii="Times New Roman" w:eastAsia="仿宋_GB2312"/>
          <w:kern w:val="0"/>
          <w:sz w:val="32"/>
          <w:szCs w:val="32"/>
        </w:rPr>
        <w:t>个，比</w:t>
      </w:r>
      <w:r>
        <w:rPr>
          <w:rFonts w:ascii="Times New Roman" w:hAnsi="Times New Roman" w:eastAsia="仿宋_GB2312"/>
          <w:kern w:val="0"/>
          <w:sz w:val="32"/>
          <w:szCs w:val="32"/>
        </w:rPr>
        <w:t>2013</w:t>
      </w:r>
      <w:r>
        <w:rPr>
          <w:rFonts w:ascii="Times New Roman" w:eastAsia="仿宋_GB2312"/>
          <w:kern w:val="0"/>
          <w:sz w:val="32"/>
          <w:szCs w:val="32"/>
        </w:rPr>
        <w:t>年末（下同）增长</w:t>
      </w:r>
      <w:r>
        <w:rPr>
          <w:rFonts w:ascii="Times New Roman" w:hAnsi="Times New Roman" w:eastAsia="仿宋_GB2312"/>
          <w:kern w:val="0"/>
          <w:sz w:val="32"/>
          <w:szCs w:val="32"/>
        </w:rPr>
        <w:t>6.0</w:t>
      </w:r>
      <w:r>
        <w:rPr>
          <w:rFonts w:ascii="Times New Roman" w:eastAsia="仿宋_GB2312"/>
          <w:kern w:val="0"/>
          <w:sz w:val="32"/>
          <w:szCs w:val="32"/>
        </w:rPr>
        <w:t>倍。其中，联网直报建筑企业</w:t>
      </w:r>
      <w:r>
        <w:rPr>
          <w:rFonts w:ascii="Times New Roman" w:hAnsi="Times New Roman" w:eastAsia="仿宋_GB2312"/>
          <w:kern w:val="0"/>
          <w:sz w:val="32"/>
          <w:szCs w:val="32"/>
        </w:rPr>
        <w:t>1177</w:t>
      </w:r>
      <w:r>
        <w:rPr>
          <w:rFonts w:ascii="Times New Roman" w:eastAsia="仿宋_GB2312"/>
          <w:kern w:val="0"/>
          <w:sz w:val="32"/>
          <w:szCs w:val="32"/>
        </w:rPr>
        <w:t>个，增长</w:t>
      </w:r>
      <w:r>
        <w:rPr>
          <w:rFonts w:ascii="Times New Roman" w:hAnsi="Times New Roman" w:eastAsia="仿宋_GB2312"/>
          <w:kern w:val="0"/>
          <w:sz w:val="32"/>
          <w:szCs w:val="32"/>
        </w:rPr>
        <w:t>33.4%</w:t>
      </w:r>
      <w:r>
        <w:rPr>
          <w:rFonts w:ascii="Times New Roman" w:eastAsia="仿宋_GB2312"/>
          <w:kern w:val="0"/>
          <w:sz w:val="32"/>
          <w:szCs w:val="32"/>
        </w:rPr>
        <w:t>；非联网直报建筑企业</w:t>
      </w:r>
      <w:r>
        <w:rPr>
          <w:rFonts w:ascii="Times New Roman" w:hAnsi="Times New Roman" w:eastAsia="仿宋_GB2312"/>
          <w:kern w:val="0"/>
          <w:sz w:val="32"/>
          <w:szCs w:val="32"/>
        </w:rPr>
        <w:t>26223</w:t>
      </w:r>
      <w:r>
        <w:rPr>
          <w:rFonts w:ascii="Times New Roman" w:eastAsia="仿宋_GB2312"/>
          <w:kern w:val="0"/>
          <w:sz w:val="32"/>
          <w:szCs w:val="32"/>
        </w:rPr>
        <w:t>个，增长</w:t>
      </w:r>
      <w:r>
        <w:rPr>
          <w:rFonts w:ascii="Times New Roman" w:hAnsi="Times New Roman" w:eastAsia="仿宋_GB2312"/>
          <w:kern w:val="0"/>
          <w:sz w:val="32"/>
          <w:szCs w:val="32"/>
        </w:rPr>
        <w:t>7.6</w:t>
      </w:r>
      <w:r>
        <w:rPr>
          <w:rFonts w:ascii="Times New Roman" w:eastAsia="仿宋_GB2312"/>
          <w:kern w:val="0"/>
          <w:sz w:val="32"/>
          <w:szCs w:val="32"/>
        </w:rPr>
        <w:t>倍。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从企业类型看，内资企业占绝对优势，共</w:t>
      </w:r>
      <w:r>
        <w:rPr>
          <w:rFonts w:ascii="Times New Roman" w:hAnsi="Times New Roman" w:eastAsia="仿宋_GB2312"/>
          <w:kern w:val="0"/>
          <w:sz w:val="32"/>
          <w:szCs w:val="32"/>
        </w:rPr>
        <w:t>27256</w:t>
      </w:r>
      <w:r>
        <w:rPr>
          <w:rFonts w:ascii="Times New Roman" w:eastAsia="仿宋_GB2312"/>
          <w:kern w:val="0"/>
          <w:sz w:val="32"/>
          <w:szCs w:val="32"/>
        </w:rPr>
        <w:t>个，比</w:t>
      </w:r>
      <w:r>
        <w:rPr>
          <w:rFonts w:ascii="Times New Roman" w:hAnsi="Times New Roman" w:eastAsia="仿宋_GB2312"/>
          <w:kern w:val="0"/>
          <w:sz w:val="32"/>
          <w:szCs w:val="32"/>
        </w:rPr>
        <w:t>2013</w:t>
      </w:r>
      <w:r>
        <w:rPr>
          <w:rFonts w:ascii="Times New Roman" w:eastAsia="仿宋_GB2312"/>
          <w:kern w:val="0"/>
          <w:sz w:val="32"/>
          <w:szCs w:val="32"/>
        </w:rPr>
        <w:t>年末（下同）增长6.1倍，占99.5%。其中，增长最快的是私营企业，共</w:t>
      </w:r>
      <w:r>
        <w:rPr>
          <w:rFonts w:ascii="Times New Roman" w:hAnsi="Times New Roman" w:eastAsia="仿宋_GB2312"/>
          <w:kern w:val="0"/>
          <w:sz w:val="32"/>
          <w:szCs w:val="32"/>
        </w:rPr>
        <w:t>25077</w:t>
      </w:r>
      <w:r>
        <w:rPr>
          <w:rFonts w:ascii="Times New Roman" w:eastAsia="仿宋_GB2312"/>
          <w:kern w:val="0"/>
          <w:sz w:val="32"/>
          <w:szCs w:val="32"/>
        </w:rPr>
        <w:t>个，增长</w:t>
      </w:r>
      <w:r>
        <w:rPr>
          <w:rFonts w:ascii="Times New Roman" w:hAnsi="Times New Roman" w:eastAsia="仿宋_GB2312"/>
          <w:kern w:val="0"/>
          <w:sz w:val="32"/>
          <w:szCs w:val="32"/>
        </w:rPr>
        <w:t>7.8</w:t>
      </w:r>
      <w:r>
        <w:rPr>
          <w:rFonts w:ascii="Times New Roman" w:eastAsia="仿宋_GB2312"/>
          <w:kern w:val="0"/>
          <w:sz w:val="32"/>
          <w:szCs w:val="32"/>
        </w:rPr>
        <w:t>倍，占内资企业的</w:t>
      </w:r>
      <w:r>
        <w:rPr>
          <w:rFonts w:ascii="Times New Roman" w:hAnsi="Times New Roman" w:eastAsia="仿宋_GB2312"/>
          <w:kern w:val="0"/>
          <w:sz w:val="32"/>
          <w:szCs w:val="32"/>
        </w:rPr>
        <w:t>92.0%</w:t>
      </w:r>
      <w:r>
        <w:rPr>
          <w:rFonts w:ascii="Times New Roman" w:eastAsia="仿宋_GB2312"/>
          <w:kern w:val="0"/>
          <w:sz w:val="32"/>
          <w:szCs w:val="32"/>
        </w:rPr>
        <w:t>，比重比</w:t>
      </w:r>
      <w:r>
        <w:rPr>
          <w:rFonts w:ascii="Times New Roman" w:hAnsi="Times New Roman" w:eastAsia="仿宋_GB2312"/>
          <w:kern w:val="0"/>
          <w:sz w:val="32"/>
          <w:szCs w:val="32"/>
        </w:rPr>
        <w:t>2013</w:t>
      </w:r>
      <w:r>
        <w:rPr>
          <w:rFonts w:ascii="Times New Roman" w:eastAsia="仿宋_GB2312"/>
          <w:kern w:val="0"/>
          <w:sz w:val="32"/>
          <w:szCs w:val="32"/>
        </w:rPr>
        <w:t>年末提高</w:t>
      </w:r>
      <w:r>
        <w:rPr>
          <w:rFonts w:ascii="Times New Roman" w:hAnsi="Times New Roman" w:eastAsia="仿宋_GB2312"/>
          <w:kern w:val="0"/>
          <w:sz w:val="32"/>
          <w:szCs w:val="32"/>
        </w:rPr>
        <w:t>18.1</w:t>
      </w:r>
      <w:r>
        <w:rPr>
          <w:rFonts w:ascii="Times New Roman" w:eastAsia="仿宋_GB2312"/>
          <w:kern w:val="0"/>
          <w:sz w:val="32"/>
          <w:szCs w:val="32"/>
        </w:rPr>
        <w:t>个百分点。外资企业中，港、澳、台商投资企业和外商投资企业的增幅也较为迅猛，分别增长</w:t>
      </w:r>
      <w:r>
        <w:rPr>
          <w:rFonts w:ascii="Times New Roman" w:hAnsi="Times New Roman" w:eastAsia="仿宋_GB2312"/>
          <w:kern w:val="0"/>
          <w:sz w:val="32"/>
          <w:szCs w:val="32"/>
        </w:rPr>
        <w:t>52.9%</w:t>
      </w:r>
      <w:r>
        <w:rPr>
          <w:rFonts w:ascii="Times New Roman" w:eastAsia="仿宋_GB2312"/>
          <w:kern w:val="0"/>
          <w:sz w:val="32"/>
          <w:szCs w:val="32"/>
        </w:rPr>
        <w:t>和</w:t>
      </w:r>
      <w:r>
        <w:rPr>
          <w:rFonts w:ascii="Times New Roman" w:hAnsi="Times New Roman" w:eastAsia="仿宋_GB2312"/>
          <w:kern w:val="0"/>
          <w:sz w:val="32"/>
          <w:szCs w:val="32"/>
        </w:rPr>
        <w:t>3.0</w:t>
      </w:r>
      <w:r>
        <w:rPr>
          <w:rFonts w:ascii="Times New Roman" w:eastAsia="仿宋_GB2312"/>
          <w:kern w:val="0"/>
          <w:sz w:val="32"/>
          <w:szCs w:val="32"/>
        </w:rPr>
        <w:t>倍。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从行业看，四大行业均呈井喷式发展。发展最快的建筑装饰、装修和其他建筑业增长</w:t>
      </w:r>
      <w:r>
        <w:rPr>
          <w:rFonts w:ascii="Times New Roman" w:hAnsi="Times New Roman" w:eastAsia="仿宋_GB2312"/>
          <w:kern w:val="0"/>
          <w:sz w:val="32"/>
          <w:szCs w:val="32"/>
        </w:rPr>
        <w:t>8.1</w:t>
      </w:r>
      <w:r>
        <w:rPr>
          <w:rFonts w:ascii="Times New Roman" w:eastAsia="仿宋_GB2312"/>
          <w:kern w:val="0"/>
          <w:sz w:val="32"/>
          <w:szCs w:val="32"/>
        </w:rPr>
        <w:t>倍，占</w:t>
      </w:r>
      <w:r>
        <w:rPr>
          <w:rFonts w:ascii="Times New Roman" w:hAnsi="Times New Roman" w:eastAsia="仿宋_GB2312"/>
          <w:kern w:val="0"/>
          <w:sz w:val="32"/>
          <w:szCs w:val="32"/>
        </w:rPr>
        <w:t>52.8%</w:t>
      </w:r>
      <w:r>
        <w:rPr>
          <w:rFonts w:ascii="Times New Roman" w:eastAsia="仿宋_GB2312"/>
          <w:kern w:val="0"/>
          <w:sz w:val="32"/>
          <w:szCs w:val="32"/>
        </w:rPr>
        <w:t>；其次是房屋建筑业增长</w:t>
      </w:r>
      <w:r>
        <w:rPr>
          <w:rFonts w:ascii="Times New Roman" w:hAnsi="Times New Roman" w:eastAsia="仿宋_GB2312"/>
          <w:kern w:val="0"/>
          <w:sz w:val="32"/>
          <w:szCs w:val="32"/>
        </w:rPr>
        <w:t>5.2</w:t>
      </w:r>
      <w:r>
        <w:rPr>
          <w:rFonts w:ascii="Times New Roman" w:eastAsia="仿宋_GB2312"/>
          <w:kern w:val="0"/>
          <w:sz w:val="32"/>
          <w:szCs w:val="32"/>
        </w:rPr>
        <w:t>倍，占</w:t>
      </w:r>
      <w:r>
        <w:rPr>
          <w:rFonts w:ascii="Times New Roman" w:hAnsi="Times New Roman" w:eastAsia="仿宋_GB2312"/>
          <w:kern w:val="0"/>
          <w:sz w:val="32"/>
          <w:szCs w:val="32"/>
        </w:rPr>
        <w:t>13.0%</w:t>
      </w:r>
      <w:r>
        <w:rPr>
          <w:rFonts w:ascii="Times New Roman" w:eastAsia="仿宋_GB2312"/>
          <w:kern w:val="0"/>
          <w:sz w:val="32"/>
          <w:szCs w:val="32"/>
        </w:rPr>
        <w:t>；余下的建筑安装业增长</w:t>
      </w:r>
      <w:r>
        <w:rPr>
          <w:rFonts w:ascii="Times New Roman" w:hAnsi="Times New Roman" w:eastAsia="仿宋_GB2312"/>
          <w:kern w:val="0"/>
          <w:sz w:val="32"/>
          <w:szCs w:val="32"/>
        </w:rPr>
        <w:t>4.3</w:t>
      </w:r>
      <w:r>
        <w:rPr>
          <w:rFonts w:ascii="Times New Roman" w:eastAsia="仿宋_GB2312"/>
          <w:kern w:val="0"/>
          <w:sz w:val="32"/>
          <w:szCs w:val="32"/>
        </w:rPr>
        <w:t>倍，占</w:t>
      </w:r>
      <w:r>
        <w:rPr>
          <w:rFonts w:ascii="Times New Roman" w:hAnsi="Times New Roman" w:eastAsia="仿宋_GB2312"/>
          <w:kern w:val="0"/>
          <w:sz w:val="32"/>
          <w:szCs w:val="32"/>
        </w:rPr>
        <w:t>22.8%</w:t>
      </w:r>
      <w:r>
        <w:rPr>
          <w:rFonts w:ascii="Times New Roman" w:eastAsia="仿宋_GB2312"/>
          <w:kern w:val="0"/>
          <w:sz w:val="32"/>
          <w:szCs w:val="32"/>
        </w:rPr>
        <w:t>；土木工程建筑业，增长</w:t>
      </w:r>
      <w:r>
        <w:rPr>
          <w:rFonts w:ascii="Times New Roman" w:hAnsi="Times New Roman" w:eastAsia="仿宋_GB2312"/>
          <w:kern w:val="0"/>
          <w:sz w:val="32"/>
          <w:szCs w:val="32"/>
        </w:rPr>
        <w:t>4.2</w:t>
      </w:r>
      <w:r>
        <w:rPr>
          <w:rFonts w:ascii="Times New Roman" w:eastAsia="仿宋_GB2312"/>
          <w:kern w:val="0"/>
          <w:sz w:val="32"/>
          <w:szCs w:val="32"/>
        </w:rPr>
        <w:t>倍，占</w:t>
      </w:r>
      <w:r>
        <w:rPr>
          <w:rFonts w:ascii="Times New Roman" w:hAnsi="Times New Roman" w:eastAsia="仿宋_GB2312"/>
          <w:kern w:val="0"/>
          <w:sz w:val="32"/>
          <w:szCs w:val="32"/>
        </w:rPr>
        <w:t>11.4%</w:t>
      </w:r>
      <w:r>
        <w:rPr>
          <w:rFonts w:ascii="Times New Roman"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eastAsia="黑体"/>
          <w:kern w:val="0"/>
          <w:sz w:val="32"/>
          <w:szCs w:val="32"/>
        </w:rPr>
        <w:t>二、建筑从业人员大幅增长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</w:t>
      </w:r>
      <w:r>
        <w:rPr>
          <w:rFonts w:ascii="Times New Roman" w:eastAsia="仿宋_GB2312"/>
          <w:kern w:val="0"/>
          <w:sz w:val="32"/>
          <w:szCs w:val="32"/>
        </w:rPr>
        <w:t>年末，全市共有建筑业企业从业人员</w:t>
      </w:r>
      <w:r>
        <w:rPr>
          <w:rFonts w:ascii="Times New Roman" w:hAnsi="Times New Roman" w:eastAsia="仿宋_GB2312"/>
          <w:kern w:val="0"/>
          <w:sz w:val="32"/>
          <w:szCs w:val="32"/>
        </w:rPr>
        <w:t>69.75</w:t>
      </w:r>
      <w:r>
        <w:rPr>
          <w:rFonts w:ascii="Times New Roman" w:eastAsia="仿宋_GB2312"/>
          <w:kern w:val="0"/>
          <w:sz w:val="32"/>
          <w:szCs w:val="32"/>
        </w:rPr>
        <w:t>万人，比</w:t>
      </w:r>
      <w:r>
        <w:rPr>
          <w:rFonts w:ascii="Times New Roman" w:hAnsi="Times New Roman" w:eastAsia="仿宋_GB2312"/>
          <w:kern w:val="0"/>
          <w:sz w:val="32"/>
          <w:szCs w:val="32"/>
        </w:rPr>
        <w:t>2013</w:t>
      </w:r>
      <w:r>
        <w:rPr>
          <w:rFonts w:ascii="Times New Roman" w:eastAsia="仿宋_GB2312"/>
          <w:kern w:val="0"/>
          <w:sz w:val="32"/>
          <w:szCs w:val="32"/>
        </w:rPr>
        <w:t>年末（下同）增长</w:t>
      </w:r>
      <w:r>
        <w:rPr>
          <w:rFonts w:ascii="Times New Roman" w:hAnsi="Times New Roman" w:eastAsia="仿宋_GB2312"/>
          <w:kern w:val="0"/>
          <w:sz w:val="32"/>
          <w:szCs w:val="32"/>
        </w:rPr>
        <w:t>45.4%</w:t>
      </w:r>
      <w:r>
        <w:rPr>
          <w:rFonts w:ascii="Times New Roman" w:eastAsia="仿宋_GB2312"/>
          <w:kern w:val="0"/>
          <w:sz w:val="32"/>
          <w:szCs w:val="32"/>
        </w:rPr>
        <w:t>。其中，联网直报建筑企业从业人员</w:t>
      </w:r>
      <w:r>
        <w:rPr>
          <w:rFonts w:ascii="Times New Roman" w:hAnsi="Times New Roman" w:eastAsia="仿宋_GB2312"/>
          <w:kern w:val="0"/>
          <w:sz w:val="32"/>
          <w:szCs w:val="32"/>
        </w:rPr>
        <w:t>47.23</w:t>
      </w:r>
      <w:r>
        <w:rPr>
          <w:rFonts w:ascii="Times New Roman" w:eastAsia="仿宋_GB2312"/>
          <w:kern w:val="0"/>
          <w:sz w:val="32"/>
          <w:szCs w:val="32"/>
        </w:rPr>
        <w:t>万人，增长</w:t>
      </w:r>
      <w:r>
        <w:rPr>
          <w:rFonts w:ascii="Times New Roman" w:hAnsi="Times New Roman" w:eastAsia="仿宋_GB2312"/>
          <w:kern w:val="0"/>
          <w:sz w:val="32"/>
          <w:szCs w:val="32"/>
        </w:rPr>
        <w:t>12.4%</w:t>
      </w:r>
      <w:r>
        <w:rPr>
          <w:rFonts w:ascii="Times New Roman" w:eastAsia="仿宋_GB2312"/>
          <w:kern w:val="0"/>
          <w:sz w:val="32"/>
          <w:szCs w:val="32"/>
        </w:rPr>
        <w:t>，占</w:t>
      </w:r>
      <w:r>
        <w:rPr>
          <w:rFonts w:ascii="Times New Roman" w:hAnsi="Times New Roman" w:eastAsia="仿宋_GB2312"/>
          <w:kern w:val="0"/>
          <w:sz w:val="32"/>
          <w:szCs w:val="32"/>
        </w:rPr>
        <w:t>67.7%</w:t>
      </w:r>
      <w:r>
        <w:rPr>
          <w:rFonts w:ascii="Times New Roman" w:eastAsia="仿宋_GB2312"/>
          <w:kern w:val="0"/>
          <w:sz w:val="32"/>
          <w:szCs w:val="32"/>
        </w:rPr>
        <w:t>；非联网直报建筑企业从业人员</w:t>
      </w:r>
      <w:r>
        <w:rPr>
          <w:rFonts w:ascii="Times New Roman" w:hAnsi="Times New Roman" w:eastAsia="仿宋_GB2312"/>
          <w:kern w:val="0"/>
          <w:sz w:val="32"/>
          <w:szCs w:val="32"/>
        </w:rPr>
        <w:t>22.52</w:t>
      </w:r>
      <w:r>
        <w:rPr>
          <w:rFonts w:ascii="Times New Roman" w:eastAsia="仿宋_GB2312"/>
          <w:kern w:val="0"/>
          <w:sz w:val="32"/>
          <w:szCs w:val="32"/>
        </w:rPr>
        <w:t>万人，增长</w:t>
      </w:r>
      <w:r>
        <w:rPr>
          <w:rFonts w:ascii="Times New Roman" w:hAnsi="Times New Roman" w:eastAsia="仿宋_GB2312"/>
          <w:kern w:val="0"/>
          <w:sz w:val="32"/>
          <w:szCs w:val="32"/>
        </w:rPr>
        <w:t>2.8</w:t>
      </w:r>
      <w:r>
        <w:rPr>
          <w:rFonts w:ascii="Times New Roman" w:eastAsia="仿宋_GB2312"/>
          <w:kern w:val="0"/>
          <w:sz w:val="32"/>
          <w:szCs w:val="32"/>
        </w:rPr>
        <w:t>倍，占</w:t>
      </w:r>
      <w:r>
        <w:rPr>
          <w:rFonts w:ascii="Times New Roman" w:hAnsi="Times New Roman" w:eastAsia="仿宋_GB2312"/>
          <w:kern w:val="0"/>
          <w:sz w:val="32"/>
          <w:szCs w:val="32"/>
        </w:rPr>
        <w:t>32.3%</w:t>
      </w:r>
      <w:r>
        <w:rPr>
          <w:rFonts w:ascii="Times New Roman"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从行业看，房屋建筑业吸纳从业人员最多，建筑装饰、装修和其他建筑业房屋建筑业从业人员增长最快。房屋建筑业从业人员</w:t>
      </w:r>
      <w:r>
        <w:rPr>
          <w:rFonts w:ascii="Times New Roman" w:hAnsi="Times New Roman" w:eastAsia="仿宋_GB2312"/>
          <w:kern w:val="0"/>
          <w:sz w:val="32"/>
          <w:szCs w:val="32"/>
        </w:rPr>
        <w:t>26.31</w:t>
      </w:r>
      <w:r>
        <w:rPr>
          <w:rFonts w:ascii="Times New Roman" w:eastAsia="仿宋_GB2312"/>
          <w:kern w:val="0"/>
          <w:sz w:val="32"/>
          <w:szCs w:val="32"/>
        </w:rPr>
        <w:t>万人，比</w:t>
      </w:r>
      <w:r>
        <w:rPr>
          <w:rFonts w:ascii="Times New Roman" w:hAnsi="Times New Roman" w:eastAsia="仿宋_GB2312"/>
          <w:kern w:val="0"/>
          <w:sz w:val="32"/>
          <w:szCs w:val="32"/>
        </w:rPr>
        <w:t>2013</w:t>
      </w:r>
      <w:r>
        <w:rPr>
          <w:rFonts w:ascii="Times New Roman" w:eastAsia="仿宋_GB2312"/>
          <w:kern w:val="0"/>
          <w:sz w:val="32"/>
          <w:szCs w:val="32"/>
        </w:rPr>
        <w:t>年末（下同）增长</w:t>
      </w:r>
      <w:r>
        <w:rPr>
          <w:rFonts w:ascii="Times New Roman" w:hAnsi="Times New Roman" w:eastAsia="仿宋_GB2312"/>
          <w:kern w:val="0"/>
          <w:sz w:val="32"/>
          <w:szCs w:val="32"/>
        </w:rPr>
        <w:t>11.3%</w:t>
      </w:r>
      <w:r>
        <w:rPr>
          <w:rFonts w:ascii="Times New Roman" w:eastAsia="仿宋_GB2312"/>
          <w:kern w:val="0"/>
          <w:sz w:val="32"/>
          <w:szCs w:val="32"/>
        </w:rPr>
        <w:t>，占</w:t>
      </w:r>
      <w:r>
        <w:rPr>
          <w:rFonts w:ascii="Times New Roman" w:hAnsi="Times New Roman" w:eastAsia="仿宋_GB2312"/>
          <w:kern w:val="0"/>
          <w:sz w:val="32"/>
          <w:szCs w:val="32"/>
        </w:rPr>
        <w:t>37.7%</w:t>
      </w:r>
      <w:r>
        <w:rPr>
          <w:rFonts w:ascii="Times New Roman" w:eastAsia="仿宋_GB2312"/>
          <w:kern w:val="0"/>
          <w:sz w:val="32"/>
          <w:szCs w:val="32"/>
        </w:rPr>
        <w:t>；建筑装饰、装修和其他建筑业从业人员</w:t>
      </w:r>
      <w:r>
        <w:rPr>
          <w:rFonts w:ascii="Times New Roman" w:hAnsi="Times New Roman" w:eastAsia="仿宋_GB2312"/>
          <w:kern w:val="0"/>
          <w:sz w:val="32"/>
          <w:szCs w:val="32"/>
        </w:rPr>
        <w:t>19.37</w:t>
      </w:r>
      <w:r>
        <w:rPr>
          <w:rFonts w:ascii="Times New Roman" w:eastAsia="仿宋_GB2312"/>
          <w:kern w:val="0"/>
          <w:sz w:val="32"/>
          <w:szCs w:val="32"/>
        </w:rPr>
        <w:t>万人，增长</w:t>
      </w:r>
      <w:r>
        <w:rPr>
          <w:rFonts w:ascii="Times New Roman" w:hAnsi="Times New Roman" w:eastAsia="仿宋_GB2312"/>
          <w:kern w:val="0"/>
          <w:sz w:val="32"/>
          <w:szCs w:val="32"/>
        </w:rPr>
        <w:t>2.0</w:t>
      </w:r>
      <w:r>
        <w:rPr>
          <w:rFonts w:ascii="Times New Roman" w:eastAsia="仿宋_GB2312"/>
          <w:kern w:val="0"/>
          <w:sz w:val="32"/>
          <w:szCs w:val="32"/>
        </w:rPr>
        <w:t>倍，占</w:t>
      </w:r>
      <w:r>
        <w:rPr>
          <w:rFonts w:ascii="Times New Roman" w:hAnsi="Times New Roman" w:eastAsia="仿宋_GB2312"/>
          <w:kern w:val="0"/>
          <w:sz w:val="32"/>
          <w:szCs w:val="32"/>
        </w:rPr>
        <w:t>27.8%</w:t>
      </w:r>
      <w:r>
        <w:rPr>
          <w:rFonts w:ascii="Times New Roman" w:eastAsia="仿宋_GB2312"/>
          <w:kern w:val="0"/>
          <w:sz w:val="32"/>
          <w:szCs w:val="32"/>
        </w:rPr>
        <w:t>；土木工程建筑业从业人员</w:t>
      </w:r>
      <w:r>
        <w:rPr>
          <w:rFonts w:ascii="Times New Roman" w:hAnsi="Times New Roman" w:eastAsia="仿宋_GB2312"/>
          <w:kern w:val="0"/>
          <w:sz w:val="32"/>
          <w:szCs w:val="32"/>
        </w:rPr>
        <w:t>15.27</w:t>
      </w:r>
      <w:r>
        <w:rPr>
          <w:rFonts w:ascii="Times New Roman" w:eastAsia="仿宋_GB2312"/>
          <w:kern w:val="0"/>
          <w:sz w:val="32"/>
          <w:szCs w:val="32"/>
        </w:rPr>
        <w:t>万人，增长</w:t>
      </w:r>
      <w:r>
        <w:rPr>
          <w:rFonts w:ascii="Times New Roman" w:hAnsi="Times New Roman" w:eastAsia="仿宋_GB2312"/>
          <w:kern w:val="0"/>
          <w:sz w:val="32"/>
          <w:szCs w:val="32"/>
        </w:rPr>
        <w:t>25.7%</w:t>
      </w:r>
      <w:r>
        <w:rPr>
          <w:rFonts w:ascii="Times New Roman" w:eastAsia="仿宋_GB2312"/>
          <w:kern w:val="0"/>
          <w:sz w:val="32"/>
          <w:szCs w:val="32"/>
        </w:rPr>
        <w:t>，占</w:t>
      </w:r>
      <w:r>
        <w:rPr>
          <w:rFonts w:ascii="Times New Roman" w:hAnsi="Times New Roman" w:eastAsia="仿宋_GB2312"/>
          <w:kern w:val="0"/>
          <w:sz w:val="32"/>
          <w:szCs w:val="32"/>
        </w:rPr>
        <w:t>21.9%</w:t>
      </w:r>
      <w:r>
        <w:rPr>
          <w:rFonts w:ascii="Times New Roman" w:eastAsia="仿宋_GB2312"/>
          <w:kern w:val="0"/>
          <w:sz w:val="32"/>
          <w:szCs w:val="32"/>
        </w:rPr>
        <w:t>；建筑安装业从业人员</w:t>
      </w:r>
      <w:r>
        <w:rPr>
          <w:rFonts w:ascii="Times New Roman" w:hAnsi="Times New Roman" w:eastAsia="仿宋_GB2312"/>
          <w:kern w:val="0"/>
          <w:sz w:val="32"/>
          <w:szCs w:val="32"/>
        </w:rPr>
        <w:t>8.80</w:t>
      </w:r>
      <w:r>
        <w:rPr>
          <w:rFonts w:ascii="Times New Roman" w:eastAsia="仿宋_GB2312"/>
          <w:kern w:val="0"/>
          <w:sz w:val="32"/>
          <w:szCs w:val="32"/>
        </w:rPr>
        <w:t>万人，增长</w:t>
      </w:r>
      <w:r>
        <w:rPr>
          <w:rFonts w:ascii="Times New Roman" w:hAnsi="Times New Roman" w:eastAsia="仿宋_GB2312"/>
          <w:kern w:val="0"/>
          <w:sz w:val="32"/>
          <w:szCs w:val="32"/>
        </w:rPr>
        <w:t>52.9%</w:t>
      </w:r>
      <w:r>
        <w:rPr>
          <w:rFonts w:ascii="Times New Roman" w:eastAsia="仿宋_GB2312"/>
          <w:kern w:val="0"/>
          <w:sz w:val="32"/>
          <w:szCs w:val="32"/>
        </w:rPr>
        <w:t>，占</w:t>
      </w:r>
      <w:r>
        <w:rPr>
          <w:rFonts w:ascii="Times New Roman" w:hAnsi="Times New Roman" w:eastAsia="仿宋_GB2312"/>
          <w:kern w:val="0"/>
          <w:sz w:val="32"/>
          <w:szCs w:val="32"/>
        </w:rPr>
        <w:t>12.6%</w:t>
      </w:r>
      <w:r>
        <w:rPr>
          <w:rFonts w:ascii="Times New Roman"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从区域看，超七成建筑业从业人员聚集在天河区、海珠区、番禺区、越秀区、黄埔区五区，这五区共有</w:t>
      </w:r>
      <w:r>
        <w:rPr>
          <w:rFonts w:ascii="Times New Roman" w:hAnsi="Times New Roman" w:eastAsia="仿宋_GB2312"/>
          <w:kern w:val="0"/>
          <w:sz w:val="32"/>
          <w:szCs w:val="32"/>
        </w:rPr>
        <w:t>51.01</w:t>
      </w:r>
      <w:r>
        <w:rPr>
          <w:rFonts w:ascii="Times New Roman" w:eastAsia="仿宋_GB2312"/>
          <w:kern w:val="0"/>
          <w:sz w:val="32"/>
          <w:szCs w:val="32"/>
        </w:rPr>
        <w:t>万人，占</w:t>
      </w:r>
      <w:r>
        <w:rPr>
          <w:rFonts w:ascii="Times New Roman" w:hAnsi="Times New Roman" w:eastAsia="仿宋_GB2312"/>
          <w:kern w:val="0"/>
          <w:sz w:val="32"/>
          <w:szCs w:val="32"/>
        </w:rPr>
        <w:t>73.1%</w:t>
      </w:r>
      <w:r>
        <w:rPr>
          <w:rFonts w:ascii="Times New Roman" w:eastAsia="仿宋_GB2312"/>
          <w:kern w:val="0"/>
          <w:sz w:val="32"/>
          <w:szCs w:val="32"/>
        </w:rPr>
        <w:t>；尤其是天河区，从业人员高达</w:t>
      </w:r>
      <w:r>
        <w:rPr>
          <w:rFonts w:ascii="Times New Roman" w:hAnsi="Times New Roman" w:eastAsia="仿宋_GB2312"/>
          <w:kern w:val="0"/>
          <w:sz w:val="32"/>
          <w:szCs w:val="32"/>
        </w:rPr>
        <w:t>22.91</w:t>
      </w:r>
      <w:r>
        <w:rPr>
          <w:rFonts w:ascii="Times New Roman" w:eastAsia="仿宋_GB2312"/>
          <w:kern w:val="0"/>
          <w:sz w:val="32"/>
          <w:szCs w:val="32"/>
        </w:rPr>
        <w:t>万人，占</w:t>
      </w:r>
      <w:r>
        <w:rPr>
          <w:rFonts w:ascii="Times New Roman" w:hAnsi="Times New Roman" w:eastAsia="仿宋_GB2312"/>
          <w:kern w:val="0"/>
          <w:sz w:val="32"/>
          <w:szCs w:val="32"/>
        </w:rPr>
        <w:t>32.8%</w:t>
      </w:r>
      <w:r>
        <w:rPr>
          <w:rFonts w:ascii="Times New Roman" w:eastAsia="仿宋_GB2312"/>
          <w:kern w:val="0"/>
          <w:sz w:val="32"/>
          <w:szCs w:val="32"/>
        </w:rPr>
        <w:t>，稳居全市第一，也是全市唯一一个人员超</w:t>
      </w:r>
      <w:r>
        <w:rPr>
          <w:rFonts w:ascii="Times New Roman" w:hAnsi="Times New Roman" w:eastAsia="仿宋_GB2312"/>
          <w:kern w:val="0"/>
          <w:sz w:val="32"/>
          <w:szCs w:val="32"/>
        </w:rPr>
        <w:t>10万的区。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三、资产总量翻倍，营业收入也有大幅增长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建筑业企业法人单位资产总计11020.31亿元，比2013年末（下同）增长2.1倍。其中，增长最快的是房屋建筑业，增长5.1倍；其余依次为建筑装饰、装修和其他建筑业、建筑安装业和土木工程建筑业，分别增长3.4倍、71.2%和66.8%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2018年末，全年实现营业收入5418.91亿元，比2013年末增长78.4%。增长最快的是建筑装饰、装修和其他建筑业，增长1.7倍；其余依次为房屋建筑业、土木工程建筑业和建筑安装业，分别增长84.0%、64.9%和54.7%。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2"/>
        <w:wordWrap w:val="0"/>
        <w:ind w:firstLine="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（投资处）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E06CC"/>
    <w:rsid w:val="017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2020-04-17T01:13:00Z</dcterms:created>
  <dc:creator>董曼虹</dc:creator>
  <cp:lastModifiedBy>董曼虹</cp:lastModifiedBy>
  <dcterms:modified xsi:type="dcterms:W3CDTF">2020-04-17T01:13:19Z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