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/>
        <w:rPr>
          <w:rFonts w:ascii="Times New Roman" w:hAnsi="Times New Roman" w:eastAsia="楷体_GB2312"/>
          <w:sz w:val="32"/>
          <w:szCs w:val="32"/>
        </w:rPr>
      </w:pPr>
      <w:r>
        <w:rPr>
          <w:rFonts w:ascii="Times New Roman" w:hAnsi="Times New Roman" w:eastAsia="楷体_GB2312"/>
          <w:sz w:val="32"/>
          <w:szCs w:val="32"/>
        </w:rPr>
        <w:t>广州市第四次全国经济普查公报解读三</w:t>
      </w:r>
    </w:p>
    <w:p>
      <w:pPr>
        <w:pStyle w:val="2"/>
        <w:ind w:firstLine="0"/>
        <w:rPr>
          <w:rFonts w:ascii="Times New Roman" w:hAnsi="Times New Roman" w:eastAsia="楷体_GB2312"/>
          <w:sz w:val="32"/>
          <w:szCs w:val="32"/>
        </w:rPr>
      </w:pPr>
    </w:p>
    <w:p>
      <w:pPr>
        <w:widowControl/>
        <w:spacing w:line="600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小标宋_GBK"/>
          <w:sz w:val="44"/>
          <w:szCs w:val="44"/>
        </w:rPr>
        <w:t>广州工业提质增效，增势良好</w:t>
      </w:r>
    </w:p>
    <w:p>
      <w:pPr>
        <w:ind w:firstLine="883" w:firstLineChars="200"/>
        <w:rPr>
          <w:rFonts w:ascii="Times New Roman" w:hAnsi="Times New Roman" w:eastAsia="仿宋"/>
          <w:b/>
          <w:bCs/>
          <w:color w:val="000000"/>
          <w:kern w:val="0"/>
          <w:sz w:val="44"/>
          <w:szCs w:val="44"/>
          <w:shd w:val="clear" w:color="auto" w:fill="FFFFFF"/>
        </w:rPr>
      </w:pP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2013年以来，广州市主动适应和引领经济发展新常态，积极贯彻新发展理念，落实高质量发展要求，加快构建现代产业体系，经济结构不断优化，新动能活力不断增强。</w:t>
      </w:r>
    </w:p>
    <w:p>
      <w:pPr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一、工业单位数量倍增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广州市第四次全国经济普查结果显示，2018年，我市工业企业法人单位77075个，比2013年增长1.2倍，其中：规模以上工业企业法人单位4805个，规模以下工业企业法人单位72270个。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私营企业数量明显增加。2018年，我市工业企业法人单位中，内资企业74322个，比2013年增长1.3倍；其中，私营企业69663个，比2013年增长1.7倍；国有企业和集体企业数量分别为156个和267个，分别比2013年下降25.4%和29.9%。此外，全市港、澳、台商投资企业和外商投资企业分别有1693个和1060个，分别比2013年下降21.1%和14.8%。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行业集中度高。2018年，我市制造业企业法人单位76363个，比2013年增长1.2倍，占99.1%；其中，纺织服装、服饰业，皮革、毛皮、羽毛及其制品和制鞋业，金属制品业企业法人单位数位居前三位，分别为10485个、7419个和6060个，分别比2013年增长1.1倍、1.3倍和1.6倍，该3个行业单位数合计占全市工业企业法人单位数量的31.1%。非制造业行业企业数量也成倍增长，其中，电力、热力、燃气及水生产和供应业合计拥有法人单位656个，比2013年末增长2.5倍；采矿业拥有法人单位56个，比2013年末增长1.1倍。</w:t>
      </w:r>
    </w:p>
    <w:p>
      <w:pPr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二、从业人员减少明显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2013年以来，尤其是供给侧结构性改革成效逐步体现之后，全市工业企业提质增效，传统产业积极转型升级，落后产能淘汰速度加快，生产机械化、智能化程度日益提高，全市工业企业从业人员减少较为明显。广州市第四次全国经济普查结果显示，2018年，我市工业企业法人单位从业人员180.64万人，比2013年下降18.1%。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外商及港澳台商投资工业企业从业人员大幅下降。2018年，全市外商投资工业企业和港、澳、台商投资工业企业分别拥有从业人员34.87万人和28.95万人，均较2013年大幅下降，分别比2013年下降20.5%和39.8%。内资工业企业从业人员下降幅度相对较小，2018年全市内资工业企业拥有从业人员116.82万人，比2013年下降9.2%，其中，私营工业企业从业人员85.40万人，比201</w:t>
      </w:r>
      <w:r>
        <w:rPr>
          <w:rFonts w:hint="eastAsia" w:ascii="Times New Roman" w:hAnsi="Times New Roman" w:eastAsia="仿宋_GB2312"/>
          <w:sz w:val="32"/>
          <w:szCs w:val="32"/>
        </w:rPr>
        <w:t>3</w:t>
      </w:r>
      <w:r>
        <w:rPr>
          <w:rFonts w:ascii="Times New Roman" w:hAnsi="Times New Roman" w:eastAsia="仿宋_GB2312"/>
          <w:sz w:val="32"/>
          <w:szCs w:val="32"/>
        </w:rPr>
        <w:t>年下降5.8%。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部分传统劳动密集型产业从业人员大幅下降。2018年末，我市纺织业，纺织服装、服饰业，文教、工美、体育和娱乐用品制造业，皮革、毛皮、羽毛及其制品和制鞋业等4个行业从业人员比2013年分别下降47.9%、43.2%、41.1%和36.8%，该4个行业合计拉低全市工业企业法人单位从业人员增速（相比2013年）12.1个百分点。</w:t>
      </w:r>
    </w:p>
    <w:p>
      <w:pPr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三、工业经济规模不断扩大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2013年以来，广州工业经济增势较好，各行业、各经济成分工业企业经营状况持续向好，企业规模快速扩大。广州市第四次全国经济普查结果显示，2018年，我市工业企业法人单位资产总计21771.01亿元，比2013年增长44.3%；实现营业收入21116.43亿元，比2013年增长16.6%。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各行业资产普遍增加，电力、汽车和电子行业拉动作用明显。2018年，我市39个工业行业大类中，31个行业大类资产规模比2013年扩大。主要行业中，电力、热力生产和供应业资产总计4126.43亿元，比2013年增长49.5%，拉动全市工业企业法人资产总计增长9.1个百分点；汽车制造业资产总计3247.31亿元，比2013年末增长43.9%，拉动全市工业企业法人资产总计增长6.6个百分点；计算机、通信和其他电子设备制造业资产总计2543.86亿元，比2013年增长77.5%，拉动全市工业企业法人资产总计增长7.4个百分点。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主要行业营业收入占全市工业企业营业收入超五成。2018年，全市有汽车制造业，计算机、通信和其他电子设备制造业，化学原料和化学制品制造业，电力、热力生产和供应业等4个行业实现营业收入超千亿，分别为5631.06亿元、2305.05亿元、1675.25亿元和1460.11亿元，该4个行业营业收入合计占全市工业营业收入的52.4%。</w:t>
      </w:r>
    </w:p>
    <w:p>
      <w:pPr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四、新兴产品发展良好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2013年以来，全市工业产品结构逐步升级。2018年，全市工业企业实现智能电视产量609.91万台，工业机器人4188套，新能源汽车2.82万辆，集成电路3.84亿块，光缆9851芯千米，工业自动调节仪表与控制系统182.67万台（套）。汽车、化学药品原药、中成药、营养保健食品等传统优势产品也跟随市场主动调整结构，适应市场需要，2018年，该4类产品分别实现产品296.52万辆、2.04万吨、6.05万吨和5832吨。</w:t>
      </w:r>
    </w:p>
    <w:p>
      <w:pPr>
        <w:pStyle w:val="2"/>
        <w:ind w:firstLine="0"/>
        <w:rPr>
          <w:rFonts w:ascii="Times New Roman" w:hAnsi="Times New Roman" w:eastAsia="楷体_GB2312"/>
          <w:sz w:val="32"/>
          <w:szCs w:val="32"/>
        </w:rPr>
      </w:pPr>
    </w:p>
    <w:p>
      <w:pPr>
        <w:pStyle w:val="2"/>
        <w:ind w:firstLine="0"/>
        <w:rPr>
          <w:rFonts w:ascii="Times New Roman" w:hAnsi="Times New Roman" w:eastAsia="楷体_GB2312"/>
          <w:sz w:val="32"/>
          <w:szCs w:val="32"/>
        </w:rPr>
      </w:pPr>
    </w:p>
    <w:p>
      <w:pPr>
        <w:pStyle w:val="2"/>
        <w:wordWrap w:val="0"/>
        <w:ind w:firstLine="0"/>
        <w:jc w:val="righ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（工业交通处）   </w:t>
      </w:r>
    </w:p>
    <w:p>
      <w:pPr>
        <w:widowControl/>
        <w:jc w:val="left"/>
      </w:pPr>
      <w:r>
        <w:rPr>
          <w:rFonts w:ascii="Times New Roman" w:hAnsi="Times New Roman" w:eastAsia="楷体_GB2312"/>
          <w:sz w:val="32"/>
          <w:szCs w:val="32"/>
        </w:rPr>
        <w:br w:type="page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946562"/>
    <w:rsid w:val="3F946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qFormat/>
    <w:uiPriority w:val="0"/>
    <w:pPr>
      <w:spacing w:after="120"/>
      <w:ind w:left="420" w:leftChars="200" w:firstLine="4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2020-04-17T01:12:00Z</dcterms:created>
  <dc:creator>董曼虹</dc:creator>
  <cp:lastModifiedBy>董曼虹</cp:lastModifiedBy>
  <dcterms:modified xsi:type="dcterms:W3CDTF">2020-04-17T01:12:50Z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